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235B60">
        <w:rPr>
          <w:rFonts w:ascii="Arial" w:hAnsi="Arial" w:cs="Arial"/>
          <w:color w:val="000000"/>
        </w:rPr>
        <w:t>92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Default="00E7220D" w:rsidP="00E7220D">
      <w:pPr>
        <w:ind w:left="-142" w:right="-41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>, no uso de suas atribuições, em sua 225ª reunião ordinária do dia 28 de novembro de 2018.</w:t>
      </w:r>
    </w:p>
    <w:p w:rsidR="00E7220D" w:rsidRDefault="00E7220D" w:rsidP="00E7220D">
      <w:pPr>
        <w:ind w:left="426" w:hanging="426"/>
        <w:jc w:val="both"/>
      </w:pPr>
    </w:p>
    <w:p w:rsidR="0013543B" w:rsidRDefault="0013543B" w:rsidP="008233DF">
      <w:pPr>
        <w:ind w:firstLine="708"/>
        <w:jc w:val="both"/>
        <w:rPr>
          <w:b/>
        </w:rPr>
      </w:pPr>
      <w:r w:rsidRPr="00347EBB">
        <w:rPr>
          <w:b/>
        </w:rPr>
        <w:t>APROVA</w:t>
      </w: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  <w:r>
        <w:t>Considerando a Política Nacional de Regulação instituída pela Portaria GM/MS n° 1.559, de 1° de agosto de 2008, que</w:t>
      </w:r>
      <w:r>
        <w:rPr>
          <w:rFonts w:eastAsia="Lucida Sans Unicode" w:cs="Mangal"/>
          <w:color w:val="000000"/>
          <w:lang w:eastAsia="hi-IN" w:bidi="hi-IN"/>
        </w:rPr>
        <w:t xml:space="preserve"> prevê a operacionalização da Regulação do Acesso à Assistência, por meio de Centrais de Regulação, visando à organização, o controle, o gerenciamento e a priorização do acesso e dos fluxos assistenciais no âmbito do SUS;</w:t>
      </w: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  <w:r>
        <w:t>Considerando a Lei Estadual nº 16.158, de 11 de novembro de 2013, que dispõe sobre a criação das Centrais de Regulação no Estado de Santa Catarina;</w:t>
      </w: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  <w:r>
        <w:t xml:space="preserve">Considerando a Deliberação CIB nº 447/CIB/2013, que permitiu a disponibilização da faixa numérica de </w:t>
      </w:r>
      <w:proofErr w:type="spellStart"/>
      <w:r>
        <w:t>AIHs</w:t>
      </w:r>
      <w:proofErr w:type="spellEnd"/>
      <w:r>
        <w:t>, correspondente à abrangência de cada Central de Regulação de Internações Hospitalares Macrorregionais, a partir da cota dos 7% de todos os municípios, para serem cadastradas no SISREG;</w:t>
      </w: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  <w:r>
        <w:t>Considerando a Lei Estadual nº 17.066, de 11 de janeiro de 2017, que dispõe sobre a publicação na internet, da lista de espera dos pacientes que aguardam por consultas, exames e intervenções cirúrgicas e outros procedimentos nos estabelecimentos da rede pública de saúde do Estado de Santa Catarina;</w:t>
      </w:r>
    </w:p>
    <w:p w:rsidR="00235B60" w:rsidRDefault="00235B60" w:rsidP="00235B60">
      <w:pPr>
        <w:widowControl w:val="0"/>
        <w:tabs>
          <w:tab w:val="left" w:pos="1134"/>
        </w:tabs>
        <w:ind w:left="539"/>
        <w:jc w:val="both"/>
      </w:pPr>
      <w:r>
        <w:t>Considerando a Deliberação nº 47/CIB/16, de 31 de março de 2016, que regulamenta o funcionamento das Centrais de Regulação Ambulatoriais e o processo de agendamento de consultas e exames especializados através do Sistema Nacional de Regulação - SISREG em Santa Catarina;</w:t>
      </w:r>
    </w:p>
    <w:p w:rsidR="00235B60" w:rsidRDefault="00235B60" w:rsidP="00235B60">
      <w:pPr>
        <w:widowControl w:val="0"/>
        <w:tabs>
          <w:tab w:val="left" w:pos="1134"/>
        </w:tabs>
        <w:ind w:left="539"/>
        <w:jc w:val="both"/>
      </w:pP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  <w:r>
        <w:rPr>
          <w:sz w:val="23"/>
          <w:szCs w:val="23"/>
        </w:rPr>
        <w:t>Considerando o Manual Técnico Operacional do Sistema de Informação Hospitalar do SUS (SIH), aprovado em janeiro de 2017;</w:t>
      </w: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  <w:r>
        <w:t>Considerando o Manual de Operação do Sistema de Informação Ambulatorial do SUS (SIA), aprovado em agosto de 2016;</w:t>
      </w: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  <w:r>
        <w:t>Considerando a Portaria SAS/MS nº 10.11, de 03 de outubro de 2014 informando que Laudos podem ser utilizados através de suporte digital;</w:t>
      </w:r>
    </w:p>
    <w:p w:rsidR="00235B60" w:rsidRDefault="00235B60" w:rsidP="00235B60">
      <w:pPr>
        <w:widowControl w:val="0"/>
        <w:tabs>
          <w:tab w:val="left" w:pos="1134"/>
        </w:tabs>
        <w:spacing w:after="120"/>
        <w:ind w:left="567"/>
        <w:jc w:val="both"/>
      </w:pPr>
    </w:p>
    <w:p w:rsidR="00235B60" w:rsidRDefault="00235B60" w:rsidP="00235B60">
      <w:pPr>
        <w:pStyle w:val="Ttulo10"/>
        <w:spacing w:line="276" w:lineRule="auto"/>
        <w:ind w:right="17" w:firstLine="539"/>
        <w:jc w:val="both"/>
      </w:pPr>
      <w:r>
        <w:rPr>
          <w:sz w:val="24"/>
          <w:szCs w:val="24"/>
        </w:rPr>
        <w:t>APROVA</w:t>
      </w:r>
    </w:p>
    <w:p w:rsidR="00235B60" w:rsidRDefault="00235B60" w:rsidP="00235B60">
      <w:pPr>
        <w:pStyle w:val="Ttulo10"/>
        <w:spacing w:line="276" w:lineRule="auto"/>
        <w:ind w:right="17" w:firstLine="539"/>
        <w:jc w:val="both"/>
        <w:rPr>
          <w:sz w:val="24"/>
          <w:szCs w:val="24"/>
          <w:lang w:val="pt-BR"/>
        </w:rPr>
      </w:pPr>
    </w:p>
    <w:p w:rsidR="00235B60" w:rsidRDefault="00235B60" w:rsidP="00235B60">
      <w:pPr>
        <w:spacing w:after="120" w:line="276" w:lineRule="auto"/>
        <w:jc w:val="both"/>
      </w:pPr>
      <w:r>
        <w:rPr>
          <w:rFonts w:eastAsia="Lucida Sans Unicode" w:cs="Mangal"/>
          <w:b/>
          <w:color w:val="000000"/>
          <w:lang w:eastAsia="hi-IN" w:bidi="hi-IN"/>
        </w:rPr>
        <w:t>Art. 1º</w:t>
      </w:r>
      <w:r>
        <w:rPr>
          <w:rFonts w:eastAsia="Lucida Sans Unicode" w:cs="Mangal"/>
          <w:color w:val="000000"/>
          <w:lang w:eastAsia="hi-IN" w:bidi="hi-IN"/>
        </w:rPr>
        <w:t xml:space="preserve"> A regulamentação da utilização do sistema SISREG, no módulo hospitalar, para autorização das Internações Hospitalares e Cirurgias Eletivas no Estado de Santa Catarina.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>§ 1º</w:t>
      </w:r>
      <w:r>
        <w:t xml:space="preserve"> Ratifica-se a utilização do SISREG, para estes agendamentos </w:t>
      </w:r>
      <w:r>
        <w:rPr>
          <w:rFonts w:eastAsia="Lucida Sans Unicode" w:cs="Mangal"/>
          <w:color w:val="000000"/>
          <w:lang w:eastAsia="hi-IN" w:bidi="hi-IN"/>
        </w:rPr>
        <w:t xml:space="preserve">desde a implantação das Centrais de Regulação de Internações Hospitalares Macrorregionais - CRIHM, em 2013, onde </w:t>
      </w:r>
      <w:r>
        <w:t xml:space="preserve">a disponibilização da faixa numérica de </w:t>
      </w:r>
      <w:proofErr w:type="spellStart"/>
      <w:r>
        <w:t>AIHs</w:t>
      </w:r>
      <w:proofErr w:type="spellEnd"/>
      <w:r>
        <w:t xml:space="preserve">, correspondente à abrangência de cada CRIHM, a partir da cota dos 7% de todos os municípios, passaram a ser cadastradas no </w:t>
      </w:r>
      <w:r>
        <w:lastRenderedPageBreak/>
        <w:t>SISREG, viabilizando a regulação das solicitações de internações hospitalares e a imediata garantia da AIH para a unidade solicitante, de acordo com a Deliberação nº 447/CIB/2013;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>§ 2º</w:t>
      </w:r>
      <w:r>
        <w:t xml:space="preserve"> A Transcrição das informações no sistema SISREG, pelo operador solicitante da internação hospitalar, deve ser idêntica ao Laudo de Solicitação de AIH preenchido manualmente pelo assistente do paciente;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 xml:space="preserve">§ 3º </w:t>
      </w:r>
      <w:r>
        <w:t>A Unidade Hospitalar prestadora do serviço deve guardar o Laudo de Solicitação de AIH original junto com a solicitação do sistema SISREG no prontuário do paciente;</w:t>
      </w:r>
    </w:p>
    <w:p w:rsidR="00235B60" w:rsidRDefault="00235B60" w:rsidP="00235B60">
      <w:pPr>
        <w:spacing w:after="120" w:line="276" w:lineRule="auto"/>
        <w:jc w:val="both"/>
        <w:rPr>
          <w:rFonts w:eastAsia="Lucida Sans Unicode" w:cs="Mangal"/>
          <w:b/>
          <w:color w:val="000000"/>
          <w:lang w:eastAsia="hi-IN" w:bidi="hi-IN"/>
        </w:rPr>
      </w:pPr>
    </w:p>
    <w:p w:rsidR="00235B60" w:rsidRDefault="00235B60" w:rsidP="00235B60">
      <w:pPr>
        <w:spacing w:after="120" w:line="276" w:lineRule="auto"/>
        <w:jc w:val="both"/>
      </w:pPr>
      <w:r>
        <w:rPr>
          <w:rFonts w:eastAsia="Lucida Sans Unicode" w:cs="Mangal"/>
          <w:b/>
          <w:color w:val="000000"/>
          <w:lang w:eastAsia="hi-IN" w:bidi="hi-IN"/>
        </w:rPr>
        <w:t>Art. 2º A regulamentação da utilização do sistema SISREG para Autorização de Procedimentos Ambulatoriais de Alta Complexidade/Alto Custo - APAC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>§ 1º</w:t>
      </w:r>
      <w:r>
        <w:t xml:space="preserve"> A inserção dos procedimentos no sistema SISREG, no módulo ambulatorial, deve seguir os fluxos e </w:t>
      </w:r>
      <w:proofErr w:type="spellStart"/>
      <w:r>
        <w:t>pactuações</w:t>
      </w:r>
      <w:proofErr w:type="spellEnd"/>
      <w:r>
        <w:t xml:space="preserve"> pré-estabelecidos e as nomenclaturas das agendas aprovadas pela Deliberação n° 141/CIB/16;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>§ 2º</w:t>
      </w:r>
      <w:r>
        <w:t xml:space="preserve"> O regulador vai autorizar a solicitação por meio do sistema SISREG avaliando o Laudo e os demais documentos/exames exigidos para análise, que serão </w:t>
      </w:r>
      <w:proofErr w:type="spellStart"/>
      <w:r>
        <w:t>escaneados</w:t>
      </w:r>
      <w:proofErr w:type="spellEnd"/>
      <w:r>
        <w:t xml:space="preserve"> pelo Município do paciente, no Módulo de Alto Custo que a SES disponibilizará no Sistema de </w:t>
      </w:r>
      <w:proofErr w:type="spellStart"/>
      <w:r>
        <w:t>Telemedicina</w:t>
      </w:r>
      <w:proofErr w:type="spellEnd"/>
      <w:r>
        <w:t xml:space="preserve"> e </w:t>
      </w:r>
      <w:proofErr w:type="spellStart"/>
      <w:r>
        <w:t>Telessaúde</w:t>
      </w:r>
      <w:proofErr w:type="spellEnd"/>
      <w:r>
        <w:t xml:space="preserve"> - STT, permitindo a digitalização e o controle/acompanhamento das tramitações;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>§ 3º</w:t>
      </w:r>
      <w:r>
        <w:t xml:space="preserve"> Sendo a solicitação autorizada no sistema SISREG, também será necessária, a autorização no Sistema de Autorização AC ou Sistema de Controle AC, para geração do número da APAC e respectiva autorização; 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>§ 4º</w:t>
      </w:r>
      <w:r>
        <w:t xml:space="preserve"> A autorização emitida pelo sistema de Controle AC deverá ser impressa, assinada, </w:t>
      </w:r>
      <w:proofErr w:type="spellStart"/>
      <w:r>
        <w:t>escaneada</w:t>
      </w:r>
      <w:proofErr w:type="spellEnd"/>
      <w:r>
        <w:t xml:space="preserve"> e posteriormente, </w:t>
      </w:r>
      <w:proofErr w:type="gramStart"/>
      <w:r>
        <w:t>inserida no Módulo Alto</w:t>
      </w:r>
      <w:proofErr w:type="gramEnd"/>
      <w:r>
        <w:t xml:space="preserve"> Custo no sistema STT. </w:t>
      </w: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 xml:space="preserve">§ 5º </w:t>
      </w:r>
      <w:r>
        <w:t>A Unidade Hospitalar prestadora do serviço deve guardar o Laudo de Solicitação da APAC original junto com a solicitação do sistema SISREG no prontuário do paciente.</w:t>
      </w:r>
    </w:p>
    <w:p w:rsidR="00235B60" w:rsidRDefault="00235B60" w:rsidP="00235B60">
      <w:pPr>
        <w:spacing w:after="120" w:line="276" w:lineRule="auto"/>
        <w:jc w:val="both"/>
      </w:pPr>
    </w:p>
    <w:p w:rsidR="00235B60" w:rsidRDefault="00235B60" w:rsidP="00235B60">
      <w:pPr>
        <w:spacing w:after="120" w:line="276" w:lineRule="auto"/>
        <w:jc w:val="both"/>
      </w:pPr>
      <w:r>
        <w:rPr>
          <w:b/>
        </w:rPr>
        <w:t>Art. 3º.</w:t>
      </w:r>
      <w:r>
        <w:t xml:space="preserve"> Esta Deliberação entra em vigor a partir da data de sua publicação.</w:t>
      </w: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35B60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78A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608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235B60"/>
    <w:pPr>
      <w:jc w:val="center"/>
    </w:pPr>
    <w:rPr>
      <w:b/>
      <w:sz w:val="5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2018-07-17T18:48:00Z</cp:lastPrinted>
  <dcterms:created xsi:type="dcterms:W3CDTF">2018-12-03T15:45:00Z</dcterms:created>
  <dcterms:modified xsi:type="dcterms:W3CDTF">2018-12-03T15:45:00Z</dcterms:modified>
</cp:coreProperties>
</file>