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783575">
        <w:rPr>
          <w:rFonts w:ascii="Arial" w:hAnsi="Arial" w:cs="Arial"/>
          <w:color w:val="000000"/>
        </w:rPr>
        <w:t>0</w:t>
      </w:r>
      <w:r w:rsidR="00252D43">
        <w:rPr>
          <w:rFonts w:ascii="Arial" w:hAnsi="Arial" w:cs="Arial"/>
          <w:color w:val="000000"/>
        </w:rPr>
        <w:t>41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2A33AC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A Comissão </w:t>
      </w:r>
      <w:r w:rsidRPr="002A33AC">
        <w:rPr>
          <w:rFonts w:ascii="Arial" w:hAnsi="Arial" w:cs="Arial"/>
        </w:rPr>
        <w:t>Intergestores</w:t>
      </w:r>
      <w:r w:rsidR="001F0AC4" w:rsidRPr="002A33AC">
        <w:rPr>
          <w:rFonts w:ascii="Arial" w:hAnsi="Arial" w:cs="Arial"/>
        </w:rPr>
        <w:t xml:space="preserve"> </w:t>
      </w:r>
      <w:r w:rsidRPr="002A33AC">
        <w:rPr>
          <w:rFonts w:ascii="Arial" w:hAnsi="Arial" w:cs="Arial"/>
        </w:rPr>
        <w:t xml:space="preserve">Bipartite, no uso </w:t>
      </w:r>
      <w:r w:rsidR="000611C4" w:rsidRPr="002A33AC">
        <w:rPr>
          <w:rFonts w:ascii="Arial" w:hAnsi="Arial" w:cs="Arial"/>
        </w:rPr>
        <w:t>de suas atribuições</w:t>
      </w:r>
      <w:r w:rsidR="0017256A" w:rsidRPr="002A33AC">
        <w:rPr>
          <w:rFonts w:ascii="Arial" w:hAnsi="Arial" w:cs="Arial"/>
        </w:rPr>
        <w:t>,</w:t>
      </w:r>
      <w:r w:rsidR="0034292B" w:rsidRPr="002A33AC">
        <w:rPr>
          <w:rFonts w:ascii="Arial" w:hAnsi="Arial" w:cs="Arial"/>
        </w:rPr>
        <w:t xml:space="preserve"> ad referendum</w:t>
      </w:r>
    </w:p>
    <w:p w:rsidR="00530AC3" w:rsidRPr="002A33AC" w:rsidRDefault="00530AC3" w:rsidP="00530AC3">
      <w:pPr>
        <w:rPr>
          <w:rFonts w:ascii="Arial" w:hAnsi="Arial" w:cs="Arial"/>
        </w:rPr>
      </w:pPr>
    </w:p>
    <w:p w:rsidR="00252D43" w:rsidRPr="002A33AC" w:rsidRDefault="00252D43" w:rsidP="002A33AC">
      <w:pPr>
        <w:spacing w:after="120"/>
        <w:ind w:left="1134"/>
        <w:jc w:val="both"/>
        <w:rPr>
          <w:rFonts w:ascii="Arial" w:hAnsi="Arial" w:cs="Arial"/>
        </w:rPr>
      </w:pPr>
      <w:r w:rsidRPr="002A33AC">
        <w:rPr>
          <w:rFonts w:ascii="Arial" w:hAnsi="Arial" w:cs="Arial"/>
        </w:rPr>
        <w:t>Considerando que o Hospital São José de Criciúma é habilitado como UNACON;</w:t>
      </w:r>
    </w:p>
    <w:p w:rsidR="00252D43" w:rsidRPr="002A33AC" w:rsidRDefault="00252D43" w:rsidP="002A33AC">
      <w:pPr>
        <w:spacing w:after="120"/>
        <w:ind w:left="1134" w:right="-2"/>
        <w:jc w:val="both"/>
        <w:rPr>
          <w:rFonts w:ascii="Arial" w:hAnsi="Arial" w:cs="Arial"/>
        </w:rPr>
      </w:pPr>
      <w:r w:rsidRPr="002A33AC">
        <w:rPr>
          <w:rFonts w:ascii="Arial" w:hAnsi="Arial" w:cs="Arial"/>
        </w:rPr>
        <w:t xml:space="preserve">Considerando que o hospital já atende as Regiões de Saúde do </w:t>
      </w:r>
      <w:r w:rsidR="002A33AC" w:rsidRPr="002A33AC">
        <w:rPr>
          <w:rFonts w:ascii="Arial" w:hAnsi="Arial" w:cs="Arial"/>
        </w:rPr>
        <w:t>E</w:t>
      </w:r>
      <w:r w:rsidRPr="002A33AC">
        <w:rPr>
          <w:rFonts w:ascii="Arial" w:hAnsi="Arial" w:cs="Arial"/>
        </w:rPr>
        <w:t xml:space="preserve">xtremo Sul Catarinense e da Carbonífera para a especialidade Hematologia </w:t>
      </w:r>
      <w:proofErr w:type="spellStart"/>
      <w:r w:rsidRPr="002A33AC">
        <w:rPr>
          <w:rFonts w:ascii="Arial" w:hAnsi="Arial" w:cs="Arial"/>
        </w:rPr>
        <w:t>Oncológica</w:t>
      </w:r>
      <w:proofErr w:type="spellEnd"/>
      <w:r w:rsidRPr="002A33AC">
        <w:rPr>
          <w:rFonts w:ascii="Arial" w:hAnsi="Arial" w:cs="Arial"/>
        </w:rPr>
        <w:t>.</w:t>
      </w:r>
    </w:p>
    <w:p w:rsidR="00252D43" w:rsidRPr="002A33AC" w:rsidRDefault="00252D43" w:rsidP="00252D43">
      <w:pPr>
        <w:ind w:left="709" w:right="1280"/>
        <w:rPr>
          <w:rFonts w:ascii="Arial" w:hAnsi="Arial" w:cs="Arial"/>
        </w:rPr>
      </w:pPr>
    </w:p>
    <w:p w:rsidR="00252D43" w:rsidRPr="002A33AC" w:rsidRDefault="002A33AC" w:rsidP="00252D43">
      <w:pPr>
        <w:spacing w:line="271" w:lineRule="auto"/>
        <w:ind w:left="709" w:right="1280"/>
        <w:rPr>
          <w:rFonts w:ascii="Arial" w:hAnsi="Arial" w:cs="Arial"/>
        </w:rPr>
      </w:pPr>
      <w:r w:rsidRPr="002A33AC">
        <w:rPr>
          <w:rFonts w:ascii="Arial" w:hAnsi="Arial" w:cs="Arial"/>
          <w:b/>
        </w:rPr>
        <w:tab/>
      </w:r>
      <w:r w:rsidR="00252D43" w:rsidRPr="002A33AC">
        <w:rPr>
          <w:rFonts w:ascii="Arial" w:hAnsi="Arial" w:cs="Arial"/>
          <w:b/>
        </w:rPr>
        <w:t>APROVA</w:t>
      </w:r>
    </w:p>
    <w:p w:rsidR="00252D43" w:rsidRPr="002A33AC" w:rsidRDefault="00252D43" w:rsidP="00252D43">
      <w:pPr>
        <w:spacing w:line="200" w:lineRule="exact"/>
        <w:rPr>
          <w:rFonts w:ascii="Arial" w:hAnsi="Arial" w:cs="Arial"/>
        </w:rPr>
      </w:pPr>
    </w:p>
    <w:p w:rsidR="00252D43" w:rsidRPr="002A33AC" w:rsidRDefault="002A33AC" w:rsidP="002A33AC">
      <w:pPr>
        <w:tabs>
          <w:tab w:val="left" w:pos="8647"/>
          <w:tab w:val="left" w:pos="8787"/>
        </w:tabs>
        <w:spacing w:line="255" w:lineRule="auto"/>
        <w:ind w:left="120" w:right="-2"/>
        <w:jc w:val="both"/>
        <w:rPr>
          <w:rFonts w:ascii="Arial" w:hAnsi="Arial" w:cs="Arial"/>
        </w:rPr>
      </w:pPr>
      <w:r w:rsidRPr="002A33AC">
        <w:rPr>
          <w:rFonts w:ascii="Arial" w:hAnsi="Arial" w:cs="Arial"/>
        </w:rPr>
        <w:t xml:space="preserve">1. </w:t>
      </w:r>
      <w:r w:rsidR="00252D43" w:rsidRPr="002A33AC">
        <w:rPr>
          <w:rFonts w:ascii="Arial" w:hAnsi="Arial" w:cs="Arial"/>
        </w:rPr>
        <w:t>O remanejamento de Teto, correspondente a população de 365.687 habitantes da Região de Laguna</w:t>
      </w:r>
      <w:r w:rsidRPr="002A33AC">
        <w:rPr>
          <w:rFonts w:ascii="Arial" w:hAnsi="Arial" w:cs="Arial"/>
        </w:rPr>
        <w:t>,</w:t>
      </w:r>
      <w:r w:rsidR="00252D43" w:rsidRPr="002A33AC">
        <w:rPr>
          <w:rFonts w:ascii="Arial" w:hAnsi="Arial" w:cs="Arial"/>
        </w:rPr>
        <w:t xml:space="preserve"> pactuados no CEPON de Florianópolis/SC</w:t>
      </w:r>
      <w:r w:rsidRPr="002A33AC">
        <w:rPr>
          <w:rFonts w:ascii="Arial" w:hAnsi="Arial" w:cs="Arial"/>
        </w:rPr>
        <w:t>,</w:t>
      </w:r>
      <w:r w:rsidR="00252D43" w:rsidRPr="002A33AC">
        <w:rPr>
          <w:rFonts w:ascii="Arial" w:hAnsi="Arial" w:cs="Arial"/>
        </w:rPr>
        <w:t xml:space="preserve"> para o Hospital São José de Criciúma/SC, conforme segue abaixo:</w:t>
      </w:r>
    </w:p>
    <w:p w:rsidR="00252D43" w:rsidRPr="002A33AC" w:rsidRDefault="00252D43" w:rsidP="00252D43">
      <w:pPr>
        <w:spacing w:line="20" w:lineRule="exact"/>
        <w:rPr>
          <w:rFonts w:ascii="Arial" w:hAnsi="Arial" w:cs="Arial"/>
        </w:rPr>
      </w:pPr>
      <w:r w:rsidRPr="002A3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327660</wp:posOffset>
            </wp:positionV>
            <wp:extent cx="5600700" cy="11049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D43" w:rsidRPr="002A33AC" w:rsidRDefault="00252D43" w:rsidP="00252D43">
      <w:pPr>
        <w:spacing w:line="200" w:lineRule="exact"/>
        <w:rPr>
          <w:rFonts w:ascii="Arial" w:hAnsi="Arial" w:cs="Arial"/>
        </w:rPr>
      </w:pPr>
    </w:p>
    <w:tbl>
      <w:tblPr>
        <w:tblW w:w="8820" w:type="dxa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40"/>
        <w:gridCol w:w="1080"/>
        <w:gridCol w:w="540"/>
        <w:gridCol w:w="500"/>
        <w:gridCol w:w="1120"/>
        <w:gridCol w:w="520"/>
        <w:gridCol w:w="1140"/>
      </w:tblGrid>
      <w:tr w:rsidR="00252D43" w:rsidRPr="002A33AC" w:rsidTr="002A33AC">
        <w:trPr>
          <w:trHeight w:val="309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1000"/>
              <w:rPr>
                <w:rFonts w:ascii="Arial" w:hAnsi="Arial" w:cs="Arial"/>
                <w:b/>
              </w:rPr>
            </w:pPr>
            <w:r w:rsidRPr="002A33AC">
              <w:rPr>
                <w:rFonts w:ascii="Arial" w:hAnsi="Arial" w:cs="Arial"/>
                <w:b/>
              </w:rPr>
              <w:t>Procedimentos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2A33AC">
            <w:pPr>
              <w:spacing w:line="0" w:lineRule="atLeast"/>
              <w:ind w:right="-1652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500"/>
              <w:jc w:val="right"/>
              <w:rPr>
                <w:rFonts w:ascii="Arial" w:hAnsi="Arial" w:cs="Arial"/>
                <w:b/>
              </w:rPr>
            </w:pPr>
            <w:r w:rsidRPr="002A33AC">
              <w:rPr>
                <w:rFonts w:ascii="Arial" w:hAnsi="Arial" w:cs="Arial"/>
                <w:b/>
              </w:rPr>
              <w:t>Teto Mensal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252D43" w:rsidRPr="002A33AC" w:rsidTr="002A33AC">
        <w:trPr>
          <w:trHeight w:val="26"/>
        </w:trPr>
        <w:tc>
          <w:tcPr>
            <w:tcW w:w="3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</w:tr>
      <w:tr w:rsidR="00252D43" w:rsidRPr="002A33AC" w:rsidTr="002A33AC">
        <w:trPr>
          <w:trHeight w:val="122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10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:rsidR="00252D43" w:rsidRPr="002A33AC" w:rsidRDefault="00252D43" w:rsidP="002A33AC">
            <w:pPr>
              <w:spacing w:line="0" w:lineRule="atLeast"/>
              <w:ind w:left="60" w:right="-108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2D43" w:rsidRPr="002A33AC" w:rsidRDefault="002A33AC" w:rsidP="002A33AC">
            <w:pPr>
              <w:jc w:val="center"/>
              <w:rPr>
                <w:rFonts w:ascii="Arial" w:hAnsi="Arial" w:cs="Arial"/>
                <w:b/>
              </w:rPr>
            </w:pPr>
            <w:r w:rsidRPr="002A33AC">
              <w:rPr>
                <w:rFonts w:ascii="Arial" w:hAnsi="Arial" w:cs="Arial"/>
                <w:b/>
              </w:rPr>
              <w:t>QT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2A33AC">
            <w:pPr>
              <w:spacing w:line="0" w:lineRule="atLeas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52D43" w:rsidRPr="002A33AC" w:rsidRDefault="00252D43" w:rsidP="002A33AC">
            <w:pPr>
              <w:spacing w:line="0" w:lineRule="atLeas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2A33AC">
            <w:pPr>
              <w:spacing w:line="0" w:lineRule="atLeast"/>
              <w:ind w:right="6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A33AC">
              <w:rPr>
                <w:rFonts w:ascii="Arial" w:hAnsi="Arial" w:cs="Arial"/>
                <w:b/>
              </w:rPr>
              <w:t>Vl</w:t>
            </w:r>
            <w:proofErr w:type="spellEnd"/>
          </w:p>
        </w:tc>
        <w:tc>
          <w:tcPr>
            <w:tcW w:w="520" w:type="dxa"/>
            <w:shd w:val="clear" w:color="auto" w:fill="auto"/>
            <w:vAlign w:val="bottom"/>
          </w:tcPr>
          <w:p w:rsidR="00252D43" w:rsidRPr="002A33AC" w:rsidRDefault="00252D43" w:rsidP="002A33AC">
            <w:pPr>
              <w:spacing w:line="0" w:lineRule="atLeas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2A33AC">
            <w:pPr>
              <w:spacing w:line="0" w:lineRule="atLeast"/>
              <w:ind w:right="580"/>
              <w:jc w:val="center"/>
              <w:rPr>
                <w:rFonts w:ascii="Arial" w:hAnsi="Arial" w:cs="Arial"/>
                <w:b/>
              </w:rPr>
            </w:pPr>
            <w:r w:rsidRPr="002A33AC">
              <w:rPr>
                <w:rFonts w:ascii="Arial" w:hAnsi="Arial" w:cs="Arial"/>
                <w:b/>
              </w:rPr>
              <w:t>CM</w:t>
            </w:r>
          </w:p>
        </w:tc>
      </w:tr>
      <w:tr w:rsidR="00252D43" w:rsidRPr="002A33AC" w:rsidTr="002A33AC">
        <w:trPr>
          <w:trHeight w:val="1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14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252D43" w:rsidRPr="002A33AC" w:rsidRDefault="00252D43" w:rsidP="002A33AC">
            <w:pPr>
              <w:spacing w:line="0" w:lineRule="atLeas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52D43" w:rsidRPr="002A33AC" w:rsidRDefault="00252D43" w:rsidP="002A3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1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1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14"/>
              </w:rPr>
            </w:pPr>
          </w:p>
        </w:tc>
      </w:tr>
      <w:tr w:rsidR="00252D43" w:rsidRPr="002A33AC" w:rsidTr="002A33AC">
        <w:trPr>
          <w:trHeight w:val="2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</w:tr>
      <w:tr w:rsidR="00252D43" w:rsidRPr="002A33AC" w:rsidTr="002A33AC">
        <w:trPr>
          <w:trHeight w:val="29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80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Consulta em Hematologia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40"/>
              <w:jc w:val="center"/>
              <w:rPr>
                <w:rFonts w:ascii="Arial" w:hAnsi="Arial" w:cs="Arial"/>
                <w:w w:val="99"/>
              </w:rPr>
            </w:pPr>
            <w:r w:rsidRPr="002A33AC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180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R$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100"/>
              <w:jc w:val="right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60,00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180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R$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100"/>
              <w:jc w:val="right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10,00</w:t>
            </w:r>
          </w:p>
        </w:tc>
      </w:tr>
      <w:tr w:rsidR="00252D43" w:rsidRPr="002A33AC" w:rsidTr="002A33AC">
        <w:trPr>
          <w:trHeight w:val="33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</w:tr>
      <w:tr w:rsidR="00252D43" w:rsidRPr="002A33AC" w:rsidTr="002A33AC">
        <w:trPr>
          <w:trHeight w:val="29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80"/>
              <w:rPr>
                <w:rFonts w:ascii="Arial" w:hAnsi="Arial" w:cs="Arial"/>
              </w:rPr>
            </w:pPr>
            <w:proofErr w:type="spellStart"/>
            <w:r w:rsidRPr="002A33AC">
              <w:rPr>
                <w:rFonts w:ascii="Arial" w:hAnsi="Arial" w:cs="Arial"/>
              </w:rPr>
              <w:t>Quimio</w:t>
            </w:r>
            <w:proofErr w:type="spellEnd"/>
            <w:r w:rsidRPr="002A33AC">
              <w:rPr>
                <w:rFonts w:ascii="Arial" w:hAnsi="Arial" w:cs="Arial"/>
              </w:rPr>
              <w:t xml:space="preserve"> Hematologia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20"/>
              <w:jc w:val="center"/>
              <w:rPr>
                <w:rFonts w:ascii="Arial" w:hAnsi="Arial" w:cs="Arial"/>
                <w:w w:val="99"/>
              </w:rPr>
            </w:pPr>
            <w:r w:rsidRPr="002A33AC">
              <w:rPr>
                <w:rFonts w:ascii="Arial" w:hAnsi="Arial" w:cs="Arial"/>
                <w:w w:val="99"/>
              </w:rPr>
              <w:t>46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160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R$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80"/>
              <w:jc w:val="right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35.925,28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140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R$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80"/>
              <w:jc w:val="right"/>
              <w:rPr>
                <w:rFonts w:ascii="Arial" w:hAnsi="Arial" w:cs="Arial"/>
              </w:rPr>
            </w:pPr>
            <w:r w:rsidRPr="002A33AC">
              <w:rPr>
                <w:rFonts w:ascii="Arial" w:hAnsi="Arial" w:cs="Arial"/>
              </w:rPr>
              <w:t>740,03</w:t>
            </w:r>
          </w:p>
        </w:tc>
      </w:tr>
      <w:tr w:rsidR="00252D43" w:rsidRPr="002A33AC" w:rsidTr="002A33AC">
        <w:trPr>
          <w:trHeight w:val="33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</w:tr>
      <w:tr w:rsidR="00252D43" w:rsidRPr="002A33AC" w:rsidTr="002A33AC">
        <w:trPr>
          <w:trHeight w:val="29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80"/>
              <w:rPr>
                <w:rFonts w:ascii="Arial" w:hAnsi="Arial" w:cs="Arial"/>
                <w:b/>
              </w:rPr>
            </w:pPr>
            <w:r w:rsidRPr="002A33A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20"/>
              <w:jc w:val="center"/>
              <w:rPr>
                <w:rFonts w:ascii="Arial" w:hAnsi="Arial" w:cs="Arial"/>
                <w:b/>
                <w:w w:val="99"/>
              </w:rPr>
            </w:pPr>
            <w:r w:rsidRPr="002A33AC">
              <w:rPr>
                <w:rFonts w:ascii="Arial" w:hAnsi="Arial" w:cs="Arial"/>
                <w:b/>
                <w:w w:val="99"/>
              </w:rPr>
              <w:t>52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left="100"/>
              <w:rPr>
                <w:rFonts w:ascii="Arial" w:hAnsi="Arial" w:cs="Arial"/>
                <w:b/>
              </w:rPr>
            </w:pPr>
            <w:r w:rsidRPr="002A33AC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ind w:right="120"/>
              <w:jc w:val="right"/>
              <w:rPr>
                <w:rFonts w:ascii="Arial" w:hAnsi="Arial" w:cs="Arial"/>
                <w:b/>
              </w:rPr>
            </w:pPr>
            <w:r w:rsidRPr="002A33AC">
              <w:rPr>
                <w:rFonts w:ascii="Arial" w:hAnsi="Arial" w:cs="Arial"/>
                <w:b/>
              </w:rPr>
              <w:t>35.985,28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252D43" w:rsidRPr="002A33AC" w:rsidTr="002A33AC">
        <w:trPr>
          <w:trHeight w:val="33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D43" w:rsidRPr="002A33AC" w:rsidRDefault="00252D43" w:rsidP="00F37838">
            <w:pPr>
              <w:spacing w:line="0" w:lineRule="atLeast"/>
              <w:rPr>
                <w:rFonts w:ascii="Arial" w:hAnsi="Arial" w:cs="Arial"/>
                <w:sz w:val="2"/>
              </w:rPr>
            </w:pPr>
          </w:p>
        </w:tc>
      </w:tr>
    </w:tbl>
    <w:p w:rsidR="00252D43" w:rsidRPr="002A33AC" w:rsidRDefault="00252D43" w:rsidP="00252D43">
      <w:pPr>
        <w:spacing w:line="398" w:lineRule="exact"/>
        <w:rPr>
          <w:rFonts w:ascii="Arial" w:hAnsi="Arial" w:cs="Arial"/>
        </w:rPr>
      </w:pPr>
    </w:p>
    <w:p w:rsidR="00252D43" w:rsidRPr="002A33AC" w:rsidRDefault="002A33AC" w:rsidP="00252D43">
      <w:pPr>
        <w:spacing w:line="0" w:lineRule="atLeast"/>
        <w:ind w:left="260"/>
        <w:rPr>
          <w:rFonts w:ascii="Arial" w:hAnsi="Arial" w:cs="Arial"/>
        </w:rPr>
      </w:pPr>
      <w:r w:rsidRPr="002A33AC">
        <w:rPr>
          <w:rFonts w:ascii="Arial" w:hAnsi="Arial" w:cs="Arial"/>
        </w:rPr>
        <w:t xml:space="preserve">2. </w:t>
      </w:r>
      <w:r w:rsidR="00252D43" w:rsidRPr="002A33AC">
        <w:rPr>
          <w:rFonts w:ascii="Arial" w:hAnsi="Arial" w:cs="Arial"/>
        </w:rPr>
        <w:t>O presente remanejamento passa a vigorar a partir da competência abril de 2020</w:t>
      </w:r>
      <w:r w:rsidRPr="002A33AC">
        <w:rPr>
          <w:rFonts w:ascii="Arial" w:hAnsi="Arial" w:cs="Arial"/>
        </w:rPr>
        <w:t>.</w:t>
      </w:r>
    </w:p>
    <w:p w:rsidR="002A33AC" w:rsidRPr="002A33AC" w:rsidRDefault="002A33AC" w:rsidP="00252D43">
      <w:pPr>
        <w:spacing w:line="0" w:lineRule="atLeast"/>
        <w:ind w:left="260"/>
        <w:rPr>
          <w:rFonts w:ascii="Arial" w:hAnsi="Arial" w:cs="Arial"/>
        </w:rPr>
      </w:pPr>
    </w:p>
    <w:p w:rsidR="00530AC3" w:rsidRPr="00963968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2A33AC">
        <w:rPr>
          <w:rFonts w:ascii="Arial" w:hAnsi="Arial" w:cs="Arial"/>
        </w:rPr>
        <w:t>Florianópolis</w:t>
      </w:r>
      <w:r w:rsidRPr="00963968">
        <w:rPr>
          <w:rFonts w:ascii="Arial" w:hAnsi="Arial" w:cs="Arial"/>
        </w:rPr>
        <w:t xml:space="preserve">, </w:t>
      </w:r>
      <w:r w:rsidR="001F2D56">
        <w:rPr>
          <w:rFonts w:ascii="Arial" w:hAnsi="Arial" w:cs="Arial"/>
        </w:rPr>
        <w:t>13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2D56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2D43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3A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05D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5DB1"/>
    <w:rsid w:val="00486795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0CDD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135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4EDC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A30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17C29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C764D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46E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D7851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411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1B02"/>
    <w:rsid w:val="00C749CE"/>
    <w:rsid w:val="00C74A85"/>
    <w:rsid w:val="00C74EEC"/>
    <w:rsid w:val="00C74F37"/>
    <w:rsid w:val="00C75A3B"/>
    <w:rsid w:val="00C769A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0E9F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3</cp:revision>
  <cp:lastPrinted>2018-07-17T18:48:00Z</cp:lastPrinted>
  <dcterms:created xsi:type="dcterms:W3CDTF">2020-04-13T21:52:00Z</dcterms:created>
  <dcterms:modified xsi:type="dcterms:W3CDTF">2020-04-13T21:58:00Z</dcterms:modified>
</cp:coreProperties>
</file>