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50157" w14:textId="77777777" w:rsidR="00535035" w:rsidRDefault="00535035">
      <w:pPr>
        <w:pStyle w:val="GenStyleDefPar"/>
        <w:overflowPunct w:val="0"/>
        <w:jc w:val="center"/>
        <w:rPr>
          <w:rFonts w:asciiTheme="majorHAnsi" w:hAnsiTheme="majorHAnsi"/>
          <w:b/>
          <w:sz w:val="22"/>
        </w:rPr>
      </w:pPr>
    </w:p>
    <w:p w14:paraId="07E15355" w14:textId="646A0138" w:rsidR="00535035" w:rsidRDefault="009C4859" w:rsidP="009C4859">
      <w:pPr>
        <w:pStyle w:val="GenStyleDefPar"/>
        <w:tabs>
          <w:tab w:val="left" w:pos="0"/>
        </w:tabs>
        <w:overflowPunct w:val="0"/>
        <w:spacing w:before="120" w:line="276" w:lineRule="auto"/>
        <w:ind w:right="51"/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1</w:t>
      </w:r>
      <w:r w:rsidR="002C3851">
        <w:rPr>
          <w:rFonts w:asciiTheme="majorHAnsi" w:hAnsiTheme="majorHAnsi" w:cstheme="majorHAnsi"/>
          <w:b/>
          <w:sz w:val="24"/>
          <w:szCs w:val="24"/>
        </w:rPr>
        <w:t>º TERMO DE APOSTILAMENTO AO CONTRATO DE GESTÃO Nº 0</w:t>
      </w:r>
      <w:r>
        <w:rPr>
          <w:rFonts w:asciiTheme="majorHAnsi" w:hAnsiTheme="majorHAnsi" w:cstheme="majorHAnsi"/>
          <w:b/>
          <w:sz w:val="24"/>
          <w:szCs w:val="24"/>
        </w:rPr>
        <w:t>6</w:t>
      </w:r>
      <w:r w:rsidR="002C3851">
        <w:rPr>
          <w:rFonts w:asciiTheme="majorHAnsi" w:hAnsiTheme="majorHAnsi" w:cstheme="majorHAnsi"/>
          <w:b/>
          <w:sz w:val="24"/>
          <w:szCs w:val="24"/>
        </w:rPr>
        <w:t>/202</w:t>
      </w:r>
      <w:r>
        <w:rPr>
          <w:rFonts w:asciiTheme="majorHAnsi" w:hAnsiTheme="majorHAnsi" w:cstheme="majorHAnsi"/>
          <w:b/>
          <w:sz w:val="24"/>
          <w:szCs w:val="24"/>
        </w:rPr>
        <w:t>3</w:t>
      </w:r>
    </w:p>
    <w:p w14:paraId="6A468692" w14:textId="77777777" w:rsidR="00535035" w:rsidRDefault="00535035" w:rsidP="009C4859">
      <w:pPr>
        <w:pStyle w:val="GenStyleDefPar"/>
        <w:tabs>
          <w:tab w:val="left" w:pos="5670"/>
        </w:tabs>
        <w:overflowPunct w:val="0"/>
        <w:spacing w:before="120" w:line="276" w:lineRule="auto"/>
        <w:ind w:left="5670" w:right="51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3B4A4390" w14:textId="23E005C5" w:rsidR="00096FA7" w:rsidRPr="00C60470" w:rsidRDefault="00C60470" w:rsidP="009C4859">
      <w:pPr>
        <w:pStyle w:val="GenStyleDefPar"/>
        <w:overflowPunct w:val="0"/>
        <w:spacing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60470">
        <w:rPr>
          <w:rFonts w:asciiTheme="majorHAnsi" w:hAnsiTheme="majorHAnsi" w:cstheme="majorHAnsi"/>
          <w:sz w:val="24"/>
          <w:szCs w:val="24"/>
        </w:rPr>
        <w:t xml:space="preserve">O </w:t>
      </w:r>
      <w:r w:rsidRPr="00C60470">
        <w:rPr>
          <w:rFonts w:asciiTheme="majorHAnsi" w:hAnsiTheme="majorHAnsi" w:cstheme="majorHAnsi"/>
          <w:b/>
          <w:bCs/>
          <w:sz w:val="24"/>
          <w:szCs w:val="24"/>
        </w:rPr>
        <w:t>ESTADO DE SANTA CATARINA</w:t>
      </w:r>
      <w:r w:rsidRPr="00C60470">
        <w:rPr>
          <w:rFonts w:asciiTheme="majorHAnsi" w:hAnsiTheme="majorHAnsi" w:cstheme="majorHAnsi"/>
          <w:sz w:val="24"/>
          <w:szCs w:val="24"/>
        </w:rPr>
        <w:t xml:space="preserve">, por intermédio da </w:t>
      </w:r>
      <w:r w:rsidRPr="00C60470">
        <w:rPr>
          <w:rFonts w:asciiTheme="majorHAnsi" w:hAnsiTheme="majorHAnsi" w:cstheme="majorHAnsi"/>
          <w:b/>
          <w:bCs/>
          <w:sz w:val="24"/>
          <w:szCs w:val="24"/>
        </w:rPr>
        <w:t>SECRETARIA DE ESTADO DA SAÚDE</w:t>
      </w:r>
      <w:r w:rsidRPr="00C60470">
        <w:rPr>
          <w:rFonts w:asciiTheme="majorHAnsi" w:hAnsiTheme="majorHAnsi" w:cstheme="majorHAnsi"/>
          <w:sz w:val="24"/>
          <w:szCs w:val="24"/>
        </w:rPr>
        <w:t xml:space="preserve">, neste ato representada por seu Secretário de Estado, </w:t>
      </w:r>
      <w:r w:rsidRPr="00C60470">
        <w:rPr>
          <w:rFonts w:asciiTheme="majorHAnsi" w:hAnsiTheme="majorHAnsi" w:cstheme="majorHAnsi"/>
          <w:b/>
          <w:bCs/>
          <w:sz w:val="24"/>
          <w:szCs w:val="24"/>
        </w:rPr>
        <w:t xml:space="preserve">Diogo </w:t>
      </w:r>
      <w:proofErr w:type="spellStart"/>
      <w:r w:rsidRPr="00C60470">
        <w:rPr>
          <w:rFonts w:asciiTheme="majorHAnsi" w:hAnsiTheme="majorHAnsi" w:cstheme="majorHAnsi"/>
          <w:b/>
          <w:bCs/>
          <w:sz w:val="24"/>
          <w:szCs w:val="24"/>
        </w:rPr>
        <w:t>Demarchi</w:t>
      </w:r>
      <w:proofErr w:type="spellEnd"/>
      <w:r w:rsidRPr="00C60470">
        <w:rPr>
          <w:rFonts w:asciiTheme="majorHAnsi" w:hAnsiTheme="majorHAnsi" w:cstheme="majorHAnsi"/>
          <w:b/>
          <w:bCs/>
          <w:sz w:val="24"/>
          <w:szCs w:val="24"/>
        </w:rPr>
        <w:t xml:space="preserve"> Silva</w:t>
      </w:r>
      <w:r w:rsidRPr="00C60470">
        <w:rPr>
          <w:rFonts w:asciiTheme="majorHAnsi" w:hAnsiTheme="majorHAnsi" w:cstheme="majorHAnsi"/>
          <w:sz w:val="24"/>
          <w:szCs w:val="24"/>
        </w:rPr>
        <w:t>, no uso de suas atribuições, e considerando o que consta no Processo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C60470">
        <w:rPr>
          <w:rFonts w:asciiTheme="majorHAnsi" w:hAnsiTheme="majorHAnsi" w:cstheme="majorHAnsi"/>
          <w:b/>
          <w:bCs/>
          <w:sz w:val="24"/>
          <w:szCs w:val="24"/>
        </w:rPr>
        <w:t>SES 309137/2025</w:t>
      </w:r>
      <w:r w:rsidRPr="00C60470">
        <w:rPr>
          <w:rFonts w:asciiTheme="majorHAnsi" w:hAnsiTheme="majorHAnsi" w:cstheme="majorHAnsi"/>
          <w:sz w:val="24"/>
          <w:szCs w:val="24"/>
        </w:rPr>
        <w:t xml:space="preserve">, referente ao Contrato de Gestão nº 06/2023 celebrado com a </w:t>
      </w:r>
      <w:r w:rsidRPr="00C60470">
        <w:rPr>
          <w:rFonts w:asciiTheme="majorHAnsi" w:hAnsiTheme="majorHAnsi" w:cstheme="majorHAnsi"/>
          <w:b/>
          <w:bCs/>
          <w:sz w:val="24"/>
          <w:szCs w:val="24"/>
        </w:rPr>
        <w:t>ORGANIZAÇÃO SOCIAL FUNDAÇÃO DE APOIO AO HEMOSC/CEPON - FAHECE</w:t>
      </w:r>
      <w:r w:rsidRPr="00C60470">
        <w:rPr>
          <w:rFonts w:asciiTheme="majorHAnsi" w:hAnsiTheme="majorHAnsi" w:cstheme="majorHAnsi"/>
          <w:sz w:val="24"/>
          <w:szCs w:val="24"/>
        </w:rPr>
        <w:t xml:space="preserve">, resolve proceder ao presente </w:t>
      </w:r>
      <w:r w:rsidRPr="00C60470">
        <w:rPr>
          <w:rFonts w:asciiTheme="majorHAnsi" w:hAnsiTheme="majorHAnsi" w:cstheme="majorHAnsi"/>
          <w:b/>
          <w:bCs/>
          <w:sz w:val="24"/>
          <w:szCs w:val="24"/>
        </w:rPr>
        <w:t>APOSTILAMENTO</w:t>
      </w:r>
      <w:r w:rsidRPr="00C60470">
        <w:rPr>
          <w:rFonts w:asciiTheme="majorHAnsi" w:hAnsiTheme="majorHAnsi" w:cstheme="majorHAnsi"/>
          <w:sz w:val="24"/>
          <w:szCs w:val="24"/>
        </w:rPr>
        <w:t>, com fundamento na legislação vigente, mediante os seguintes termos</w:t>
      </w:r>
      <w:r w:rsidR="009C4859" w:rsidRPr="00C60470">
        <w:rPr>
          <w:rFonts w:asciiTheme="majorHAnsi" w:hAnsiTheme="majorHAnsi" w:cstheme="majorHAnsi"/>
          <w:sz w:val="24"/>
          <w:szCs w:val="24"/>
        </w:rPr>
        <w:t>:</w:t>
      </w:r>
    </w:p>
    <w:p w14:paraId="0AC3DF01" w14:textId="6F2C8252" w:rsidR="00096FA7" w:rsidRDefault="00096FA7" w:rsidP="009C4859">
      <w:pPr>
        <w:pStyle w:val="GenStyleDefPar"/>
        <w:overflowPunct w:val="0"/>
        <w:spacing w:line="276" w:lineRule="auto"/>
        <w:jc w:val="both"/>
        <w:rPr>
          <w:rFonts w:asciiTheme="majorHAnsi" w:hAnsiTheme="majorHAnsi"/>
          <w:sz w:val="22"/>
        </w:rPr>
      </w:pPr>
    </w:p>
    <w:p w14:paraId="19906AD1" w14:textId="77777777" w:rsidR="009C4859" w:rsidRPr="00096FA7" w:rsidRDefault="009C4859" w:rsidP="009C4859">
      <w:pPr>
        <w:pStyle w:val="GenStyleDefPar"/>
        <w:overflowPunct w:val="0"/>
        <w:spacing w:line="276" w:lineRule="auto"/>
        <w:jc w:val="both"/>
        <w:rPr>
          <w:rFonts w:asciiTheme="majorHAnsi" w:hAnsiTheme="majorHAnsi"/>
          <w:sz w:val="22"/>
        </w:rPr>
      </w:pPr>
    </w:p>
    <w:p w14:paraId="32AB6929" w14:textId="77777777" w:rsidR="009C4859" w:rsidRDefault="009C4859" w:rsidP="009C4859">
      <w:pPr>
        <w:pStyle w:val="GenStyleDefPar"/>
        <w:overflowPunct w:val="0"/>
        <w:spacing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4859">
        <w:rPr>
          <w:rFonts w:asciiTheme="majorHAnsi" w:hAnsiTheme="majorHAnsi" w:cstheme="majorHAnsi"/>
          <w:b/>
          <w:bCs/>
          <w:sz w:val="24"/>
          <w:szCs w:val="24"/>
        </w:rPr>
        <w:t>CLÁUSULA PRIMEIRA – DA ALTERAÇÃO DO OBJETO</w:t>
      </w:r>
      <w:r w:rsidRPr="009C4859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676CF88" w14:textId="6E121695" w:rsidR="00096FA7" w:rsidRDefault="009C4859" w:rsidP="009C4859">
      <w:pPr>
        <w:pStyle w:val="GenStyleDefPar"/>
        <w:overflowPunct w:val="0"/>
        <w:spacing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4859">
        <w:rPr>
          <w:rFonts w:asciiTheme="majorHAnsi" w:hAnsiTheme="majorHAnsi" w:cstheme="majorHAnsi"/>
          <w:sz w:val="24"/>
          <w:szCs w:val="24"/>
        </w:rPr>
        <w:t xml:space="preserve">Fica retificada a redação da </w:t>
      </w:r>
      <w:r w:rsidRPr="009C4859">
        <w:rPr>
          <w:rFonts w:asciiTheme="majorHAnsi" w:hAnsiTheme="majorHAnsi" w:cstheme="majorHAnsi"/>
          <w:b/>
          <w:bCs/>
          <w:sz w:val="24"/>
          <w:szCs w:val="24"/>
        </w:rPr>
        <w:t>Cláusula Primeira – Do Objeto</w:t>
      </w:r>
      <w:r w:rsidRPr="009C4859">
        <w:rPr>
          <w:rFonts w:asciiTheme="majorHAnsi" w:hAnsiTheme="majorHAnsi" w:cstheme="majorHAnsi"/>
          <w:sz w:val="24"/>
          <w:szCs w:val="24"/>
        </w:rPr>
        <w:t xml:space="preserve"> do 11º Termo Aditivo ao Contrato de Gestão nº 06/2023</w:t>
      </w:r>
      <w:r w:rsidR="00C60470">
        <w:rPr>
          <w:rFonts w:asciiTheme="majorHAnsi" w:hAnsiTheme="majorHAnsi" w:cstheme="majorHAnsi"/>
          <w:sz w:val="24"/>
          <w:szCs w:val="24"/>
        </w:rPr>
        <w:t xml:space="preserve"> - CEPON</w:t>
      </w:r>
      <w:r w:rsidRPr="009C4859">
        <w:rPr>
          <w:rFonts w:asciiTheme="majorHAnsi" w:hAnsiTheme="majorHAnsi" w:cstheme="majorHAnsi"/>
          <w:sz w:val="24"/>
          <w:szCs w:val="24"/>
        </w:rPr>
        <w:t>, que passa a vigorar com o seguinte teor</w:t>
      </w:r>
      <w:r>
        <w:rPr>
          <w:rFonts w:asciiTheme="majorHAnsi" w:hAnsiTheme="majorHAnsi" w:cstheme="majorHAnsi"/>
          <w:sz w:val="24"/>
          <w:szCs w:val="24"/>
        </w:rPr>
        <w:t>:</w:t>
      </w:r>
    </w:p>
    <w:p w14:paraId="11D5E390" w14:textId="77777777" w:rsidR="009C4859" w:rsidRDefault="009C4859" w:rsidP="009C4859">
      <w:pPr>
        <w:pStyle w:val="GenStyleDefPar"/>
        <w:overflowPunct w:val="0"/>
        <w:spacing w:line="276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AE37EBF" w14:textId="77777777" w:rsidR="009C4859" w:rsidRPr="009C4859" w:rsidRDefault="009C4859" w:rsidP="009C4859">
      <w:pPr>
        <w:pStyle w:val="NormalWeb"/>
        <w:spacing w:before="0" w:beforeAutospacing="0" w:after="0" w:afterAutospacing="0" w:line="276" w:lineRule="auto"/>
        <w:rPr>
          <w:rFonts w:asciiTheme="majorHAnsi" w:hAnsiTheme="majorHAnsi" w:cstheme="majorHAnsi"/>
        </w:rPr>
      </w:pPr>
      <w:r w:rsidRPr="009C4859">
        <w:rPr>
          <w:rFonts w:asciiTheme="majorHAnsi" w:hAnsiTheme="majorHAnsi" w:cstheme="majorHAnsi"/>
        </w:rPr>
        <w:t>"</w:t>
      </w:r>
      <w:r w:rsidRPr="009C4859">
        <w:rPr>
          <w:rFonts w:asciiTheme="majorHAnsi" w:hAnsiTheme="majorHAnsi" w:cstheme="majorHAnsi"/>
          <w:b/>
          <w:bCs/>
        </w:rPr>
        <w:t>CLÁUSULA PRIMEIRA - DO OBJETO</w:t>
      </w:r>
    </w:p>
    <w:p w14:paraId="648244EB" w14:textId="77777777" w:rsidR="009C4859" w:rsidRPr="009C4859" w:rsidRDefault="009C4859" w:rsidP="009C4859">
      <w:pPr>
        <w:pStyle w:val="NormalWeb"/>
        <w:spacing w:before="0" w:beforeAutospacing="0" w:after="0" w:afterAutospacing="0" w:line="276" w:lineRule="auto"/>
        <w:rPr>
          <w:rFonts w:asciiTheme="majorHAnsi" w:hAnsiTheme="majorHAnsi" w:cstheme="majorHAnsi"/>
        </w:rPr>
      </w:pPr>
      <w:r w:rsidRPr="009C4859">
        <w:rPr>
          <w:rFonts w:asciiTheme="majorHAnsi" w:hAnsiTheme="majorHAnsi" w:cstheme="majorHAnsi"/>
        </w:rPr>
        <w:t>O presente Termo Aditivo tem por objeto o repasse de recursos financeiros, no valor de R$ 2.200.000,00 (dois milhões e duzentos mil reais), em parcela única, à Executora, destinados à aquisição de 1 (um) equipamento de Braquiterapia e 3 (três) Ventiladores Pulmonares para o CEPON."</w:t>
      </w:r>
    </w:p>
    <w:p w14:paraId="78443590" w14:textId="545EA479" w:rsidR="007D6326" w:rsidRDefault="007D6326" w:rsidP="009C4859">
      <w:pPr>
        <w:pStyle w:val="GenStyleDefPar"/>
        <w:overflowPunct w:val="0"/>
        <w:spacing w:line="276" w:lineRule="auto"/>
        <w:jc w:val="both"/>
        <w:rPr>
          <w:rFonts w:asciiTheme="majorHAnsi" w:hAnsiTheme="majorHAnsi"/>
          <w:sz w:val="24"/>
          <w:szCs w:val="24"/>
        </w:rPr>
      </w:pPr>
    </w:p>
    <w:p w14:paraId="4DD899E9" w14:textId="77777777" w:rsidR="009C4859" w:rsidRDefault="009C4859" w:rsidP="009C4859">
      <w:pPr>
        <w:pStyle w:val="GenStyleDefPar"/>
        <w:overflowPunct w:val="0"/>
        <w:spacing w:line="276" w:lineRule="auto"/>
        <w:jc w:val="both"/>
        <w:rPr>
          <w:rFonts w:asciiTheme="majorHAnsi" w:hAnsiTheme="majorHAnsi"/>
          <w:sz w:val="24"/>
          <w:szCs w:val="24"/>
        </w:rPr>
      </w:pPr>
    </w:p>
    <w:p w14:paraId="54FC8E0D" w14:textId="0C1F6307" w:rsidR="009C4859" w:rsidRDefault="009C4859" w:rsidP="009C4859">
      <w:pPr>
        <w:pStyle w:val="GenStyleDefPar"/>
        <w:overflowPunct w:val="0"/>
        <w:spacing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4859">
        <w:rPr>
          <w:rFonts w:asciiTheme="majorHAnsi" w:hAnsiTheme="majorHAnsi" w:cstheme="majorHAnsi"/>
          <w:b/>
          <w:bCs/>
          <w:sz w:val="24"/>
          <w:szCs w:val="24"/>
        </w:rPr>
        <w:t>CLÁUSULA SEGUNDA – DA ALTERAÇÃO DA DOTAÇÃO ORÇAMENTÁRIA</w:t>
      </w:r>
      <w:r w:rsidRPr="009C4859">
        <w:rPr>
          <w:rFonts w:asciiTheme="majorHAnsi" w:hAnsiTheme="majorHAnsi" w:cstheme="majorHAnsi"/>
          <w:sz w:val="24"/>
          <w:szCs w:val="24"/>
        </w:rPr>
        <w:t xml:space="preserve"> Fica alterada a </w:t>
      </w:r>
      <w:r w:rsidRPr="009C4859">
        <w:rPr>
          <w:rFonts w:asciiTheme="majorHAnsi" w:hAnsiTheme="majorHAnsi" w:cstheme="majorHAnsi"/>
          <w:b/>
          <w:bCs/>
          <w:sz w:val="24"/>
          <w:szCs w:val="24"/>
        </w:rPr>
        <w:t>Cláusula Segunda – Da Dotação Orçamentária</w:t>
      </w:r>
      <w:r w:rsidRPr="009C4859">
        <w:rPr>
          <w:rFonts w:asciiTheme="majorHAnsi" w:hAnsiTheme="majorHAnsi" w:cstheme="majorHAnsi"/>
          <w:sz w:val="24"/>
          <w:szCs w:val="24"/>
        </w:rPr>
        <w:t xml:space="preserve"> do 11º Termo Aditivo ao Contrato de Gestão nº 06/2023</w:t>
      </w:r>
      <w:r w:rsidR="00C60470">
        <w:rPr>
          <w:rFonts w:asciiTheme="majorHAnsi" w:hAnsiTheme="majorHAnsi" w:cstheme="majorHAnsi"/>
          <w:sz w:val="24"/>
          <w:szCs w:val="24"/>
        </w:rPr>
        <w:t xml:space="preserve"> - CEPON</w:t>
      </w:r>
      <w:r w:rsidRPr="009C4859">
        <w:rPr>
          <w:rFonts w:asciiTheme="majorHAnsi" w:hAnsiTheme="majorHAnsi" w:cstheme="majorHAnsi"/>
          <w:sz w:val="24"/>
          <w:szCs w:val="24"/>
        </w:rPr>
        <w:t>, para fins de readequação e retificação da fonte, passando a vigorar com a seguinte redação:</w:t>
      </w:r>
    </w:p>
    <w:p w14:paraId="51A1A1C5" w14:textId="40C7D9B5" w:rsidR="009C4859" w:rsidRDefault="009C4859" w:rsidP="009C4859">
      <w:pPr>
        <w:pStyle w:val="GenStyleDefPar"/>
        <w:overflowPunct w:val="0"/>
        <w:spacing w:line="276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64C0527D" w14:textId="77777777" w:rsidR="009C4859" w:rsidRPr="009C4859" w:rsidRDefault="009C4859" w:rsidP="009C4859">
      <w:pPr>
        <w:pStyle w:val="Normal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</w:rPr>
      </w:pPr>
      <w:r w:rsidRPr="009C4859">
        <w:rPr>
          <w:rFonts w:asciiTheme="majorHAnsi" w:hAnsiTheme="majorHAnsi" w:cstheme="majorHAnsi"/>
        </w:rPr>
        <w:t>"</w:t>
      </w:r>
      <w:r w:rsidRPr="009C4859">
        <w:rPr>
          <w:rFonts w:asciiTheme="majorHAnsi" w:hAnsiTheme="majorHAnsi" w:cstheme="majorHAnsi"/>
          <w:b/>
          <w:bCs/>
        </w:rPr>
        <w:t>CLÁUSULA SEGUNDA - DA DOTAÇÃO ORÇAMENTÁRIA</w:t>
      </w:r>
    </w:p>
    <w:p w14:paraId="412967F1" w14:textId="4A3DBF5F" w:rsidR="009C4859" w:rsidRPr="009C4859" w:rsidRDefault="009C4859" w:rsidP="009C4859">
      <w:pPr>
        <w:pStyle w:val="Normal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</w:rPr>
      </w:pPr>
      <w:r w:rsidRPr="009C4859">
        <w:rPr>
          <w:rFonts w:asciiTheme="majorHAnsi" w:hAnsiTheme="majorHAnsi" w:cstheme="majorHAnsi"/>
        </w:rPr>
        <w:t xml:space="preserve">Os recursos orçamentários alocados para o cumprimento deste Aditivo correrão com previsão na Unidade Gestora 48091, Fonte </w:t>
      </w:r>
      <w:r w:rsidR="00C60470" w:rsidRPr="00C60470">
        <w:rPr>
          <w:rFonts w:asciiTheme="majorHAnsi" w:hAnsiTheme="majorHAnsi" w:cstheme="majorHAnsi"/>
        </w:rPr>
        <w:t>1.500.100.000</w:t>
      </w:r>
      <w:r w:rsidR="00C60470" w:rsidRPr="00C60470">
        <w:rPr>
          <w:rFonts w:asciiTheme="majorHAnsi" w:hAnsiTheme="majorHAnsi" w:cstheme="majorHAnsi"/>
        </w:rPr>
        <w:t xml:space="preserve"> </w:t>
      </w:r>
      <w:r w:rsidRPr="009C4859">
        <w:rPr>
          <w:rFonts w:asciiTheme="majorHAnsi" w:hAnsiTheme="majorHAnsi" w:cstheme="majorHAnsi"/>
        </w:rPr>
        <w:t xml:space="preserve">– Natureza da Despesa </w:t>
      </w:r>
      <w:r w:rsidR="00C60470" w:rsidRPr="00C60470">
        <w:rPr>
          <w:rFonts w:asciiTheme="majorHAnsi" w:hAnsiTheme="majorHAnsi" w:cstheme="majorHAnsi"/>
        </w:rPr>
        <w:t>44.50.42.01</w:t>
      </w:r>
      <w:r w:rsidRPr="009C4859">
        <w:rPr>
          <w:rFonts w:asciiTheme="majorHAnsi" w:hAnsiTheme="majorHAnsi" w:cstheme="majorHAnsi"/>
        </w:rPr>
        <w:t xml:space="preserve"> </w:t>
      </w:r>
      <w:proofErr w:type="spellStart"/>
      <w:r w:rsidRPr="009C4859">
        <w:rPr>
          <w:rFonts w:asciiTheme="majorHAnsi" w:hAnsiTheme="majorHAnsi" w:cstheme="majorHAnsi"/>
        </w:rPr>
        <w:t>Subação</w:t>
      </w:r>
      <w:proofErr w:type="spellEnd"/>
      <w:r w:rsidRPr="009C4859">
        <w:rPr>
          <w:rFonts w:asciiTheme="majorHAnsi" w:hAnsiTheme="majorHAnsi" w:cstheme="majorHAnsi"/>
        </w:rPr>
        <w:t xml:space="preserve"> </w:t>
      </w:r>
      <w:r w:rsidR="00C60470" w:rsidRPr="00C60470">
        <w:rPr>
          <w:rFonts w:asciiTheme="majorHAnsi" w:hAnsiTheme="majorHAnsi" w:cstheme="majorHAnsi"/>
        </w:rPr>
        <w:t>11441</w:t>
      </w:r>
      <w:r w:rsidRPr="009C4859">
        <w:rPr>
          <w:rFonts w:asciiTheme="majorHAnsi" w:hAnsiTheme="majorHAnsi" w:cstheme="majorHAnsi"/>
        </w:rPr>
        <w:t>."</w:t>
      </w:r>
    </w:p>
    <w:p w14:paraId="4DF7D81C" w14:textId="09956553" w:rsidR="009C4859" w:rsidRDefault="009C4859" w:rsidP="009C4859">
      <w:pPr>
        <w:pStyle w:val="GenStyleDefPar"/>
        <w:overflowPunct w:val="0"/>
        <w:spacing w:line="276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35CE749" w14:textId="77777777" w:rsidR="009C4859" w:rsidRDefault="009C4859" w:rsidP="009C4859">
      <w:pPr>
        <w:pStyle w:val="GenStyleDefPar"/>
        <w:overflowPunct w:val="0"/>
        <w:spacing w:line="276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DE90DA2" w14:textId="77777777" w:rsidR="009C4859" w:rsidRDefault="009C4859" w:rsidP="009C4859">
      <w:pPr>
        <w:pStyle w:val="Normal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</w:rPr>
      </w:pPr>
      <w:r w:rsidRPr="009C4859">
        <w:rPr>
          <w:rFonts w:asciiTheme="majorHAnsi" w:hAnsiTheme="majorHAnsi" w:cstheme="majorHAnsi"/>
          <w:b/>
          <w:bCs/>
        </w:rPr>
        <w:t>CLÁUSULA TERCEIRA – DA RATIFICAÇÃO</w:t>
      </w:r>
      <w:r w:rsidRPr="009C4859">
        <w:rPr>
          <w:rFonts w:asciiTheme="majorHAnsi" w:hAnsiTheme="majorHAnsi" w:cstheme="majorHAnsi"/>
        </w:rPr>
        <w:t xml:space="preserve"> </w:t>
      </w:r>
    </w:p>
    <w:p w14:paraId="639BCBB1" w14:textId="7D07F5A8" w:rsidR="009C4859" w:rsidRPr="009C4859" w:rsidRDefault="009C4859" w:rsidP="009C4859">
      <w:pPr>
        <w:pStyle w:val="Normal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</w:rPr>
      </w:pPr>
      <w:r w:rsidRPr="009C4859">
        <w:rPr>
          <w:rFonts w:asciiTheme="majorHAnsi" w:hAnsiTheme="majorHAnsi" w:cstheme="majorHAnsi"/>
        </w:rPr>
        <w:t>Ficam ratificadas e inalteradas todas as demais cláusulas e condições estabelecidas no Contrato de Gestão nº 06/2023</w:t>
      </w:r>
      <w:r w:rsidR="00C60470">
        <w:rPr>
          <w:rFonts w:asciiTheme="majorHAnsi" w:hAnsiTheme="majorHAnsi" w:cstheme="majorHAnsi"/>
        </w:rPr>
        <w:t xml:space="preserve"> - CEPON</w:t>
      </w:r>
      <w:r w:rsidRPr="009C4859">
        <w:rPr>
          <w:rFonts w:asciiTheme="majorHAnsi" w:hAnsiTheme="majorHAnsi" w:cstheme="majorHAnsi"/>
        </w:rPr>
        <w:t xml:space="preserve"> e no seu 11º Termo Aditivo que não foram expressamente modificadas por este instrumento. </w:t>
      </w:r>
    </w:p>
    <w:p w14:paraId="6AE2243C" w14:textId="77777777" w:rsidR="009C4859" w:rsidRPr="009C4859" w:rsidRDefault="009C4859" w:rsidP="009C4859">
      <w:pPr>
        <w:pStyle w:val="NormalWeb"/>
        <w:spacing w:line="276" w:lineRule="auto"/>
        <w:jc w:val="both"/>
        <w:rPr>
          <w:rFonts w:asciiTheme="majorHAnsi" w:hAnsiTheme="majorHAnsi" w:cstheme="majorHAnsi"/>
        </w:rPr>
      </w:pPr>
      <w:r w:rsidRPr="009C4859">
        <w:rPr>
          <w:rFonts w:asciiTheme="majorHAnsi" w:hAnsiTheme="majorHAnsi" w:cstheme="majorHAnsi"/>
        </w:rPr>
        <w:lastRenderedPageBreak/>
        <w:t>O presente termo passa a produzir efeitos a partir da data de sua assinatura, devendo ser devidamente juntado aos autos do processo principal para os fins de direito.</w:t>
      </w:r>
    </w:p>
    <w:p w14:paraId="60ED8464" w14:textId="77777777" w:rsidR="007D6326" w:rsidRPr="00096FA7" w:rsidRDefault="007D6326" w:rsidP="00096FA7">
      <w:pPr>
        <w:pStyle w:val="GenStyleDefPar"/>
        <w:overflowPunct w:val="0"/>
        <w:spacing w:line="276" w:lineRule="auto"/>
        <w:jc w:val="both"/>
        <w:rPr>
          <w:rFonts w:asciiTheme="majorHAnsi" w:hAnsiTheme="majorHAnsi"/>
          <w:sz w:val="24"/>
          <w:szCs w:val="24"/>
        </w:rPr>
      </w:pPr>
    </w:p>
    <w:p w14:paraId="79B6A41B" w14:textId="77777777" w:rsidR="002C3851" w:rsidRDefault="002C3851" w:rsidP="00096FA7">
      <w:pPr>
        <w:pStyle w:val="GenStyleDefPar"/>
        <w:overflowPunct w:val="0"/>
        <w:spacing w:line="276" w:lineRule="auto"/>
        <w:jc w:val="both"/>
        <w:rPr>
          <w:rFonts w:asciiTheme="majorHAnsi" w:hAnsiTheme="majorHAnsi"/>
          <w:sz w:val="24"/>
          <w:szCs w:val="24"/>
        </w:rPr>
      </w:pPr>
    </w:p>
    <w:p w14:paraId="42410F38" w14:textId="23D7C99F" w:rsidR="00535035" w:rsidRPr="00096FA7" w:rsidRDefault="002C3851" w:rsidP="00096FA7">
      <w:pPr>
        <w:pStyle w:val="GenStyleDefPar"/>
        <w:overflowPunct w:val="0"/>
        <w:spacing w:line="276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Florianópolis</w:t>
      </w:r>
      <w:r w:rsidR="00B038C6">
        <w:rPr>
          <w:rFonts w:asciiTheme="majorHAnsi" w:hAnsiTheme="majorHAnsi"/>
          <w:sz w:val="24"/>
          <w:szCs w:val="24"/>
        </w:rPr>
        <w:t>,</w:t>
      </w:r>
      <w:r w:rsidR="00096FA7" w:rsidRPr="00096FA7">
        <w:rPr>
          <w:rFonts w:asciiTheme="majorHAnsi" w:hAnsiTheme="majorHAnsi"/>
          <w:sz w:val="24"/>
          <w:szCs w:val="24"/>
        </w:rPr>
        <w:t xml:space="preserve"> </w:t>
      </w:r>
      <w:r w:rsidR="009C4859">
        <w:rPr>
          <w:rFonts w:asciiTheme="majorHAnsi" w:hAnsiTheme="majorHAnsi"/>
          <w:sz w:val="24"/>
          <w:szCs w:val="24"/>
        </w:rPr>
        <w:t>8 de julho</w:t>
      </w:r>
      <w:r w:rsidR="00096FA7" w:rsidRPr="00096FA7">
        <w:rPr>
          <w:rFonts w:asciiTheme="majorHAnsi" w:hAnsiTheme="majorHAnsi"/>
          <w:sz w:val="24"/>
          <w:szCs w:val="24"/>
        </w:rPr>
        <w:t xml:space="preserve"> de 2026.</w:t>
      </w:r>
    </w:p>
    <w:p w14:paraId="54F1AAF6" w14:textId="77777777" w:rsidR="00535035" w:rsidRPr="00096FA7" w:rsidRDefault="00535035" w:rsidP="00096FA7">
      <w:pPr>
        <w:pStyle w:val="GenStyleDefPar"/>
        <w:overflowPunct w:val="0"/>
        <w:spacing w:line="360" w:lineRule="auto"/>
        <w:ind w:left="4819"/>
        <w:jc w:val="both"/>
        <w:rPr>
          <w:rFonts w:asciiTheme="majorHAnsi" w:hAnsiTheme="majorHAnsi"/>
          <w:sz w:val="24"/>
          <w:szCs w:val="24"/>
        </w:rPr>
      </w:pPr>
    </w:p>
    <w:p w14:paraId="5638947B" w14:textId="77777777" w:rsidR="00535035" w:rsidRDefault="00535035">
      <w:pPr>
        <w:pStyle w:val="GenStyleDefPar"/>
        <w:overflowPunct w:val="0"/>
        <w:ind w:left="4819"/>
        <w:jc w:val="right"/>
        <w:rPr>
          <w:rFonts w:asciiTheme="majorHAnsi" w:hAnsiTheme="majorHAnsi"/>
          <w:sz w:val="22"/>
        </w:rPr>
      </w:pPr>
    </w:p>
    <w:p w14:paraId="7D5168AF" w14:textId="77777777" w:rsidR="00535035" w:rsidRDefault="00535035">
      <w:pPr>
        <w:pStyle w:val="GenStyleDefPar"/>
        <w:overflowPunct w:val="0"/>
        <w:jc w:val="center"/>
        <w:rPr>
          <w:rFonts w:asciiTheme="majorHAnsi" w:hAnsiTheme="majorHAnsi"/>
          <w:b/>
          <w:bCs/>
          <w:color w:val="000000"/>
          <w:sz w:val="22"/>
        </w:rPr>
      </w:pPr>
    </w:p>
    <w:p w14:paraId="6305D048" w14:textId="77777777" w:rsidR="00535035" w:rsidRDefault="00535035">
      <w:pPr>
        <w:pStyle w:val="GenStyleDefPar"/>
        <w:overflowPunct w:val="0"/>
        <w:jc w:val="center"/>
        <w:rPr>
          <w:rFonts w:asciiTheme="majorHAnsi" w:hAnsiTheme="majorHAnsi"/>
          <w:b/>
          <w:bCs/>
          <w:color w:val="000000"/>
          <w:sz w:val="22"/>
        </w:rPr>
      </w:pPr>
    </w:p>
    <w:p w14:paraId="71143903" w14:textId="77777777" w:rsidR="00535035" w:rsidRDefault="002C3851">
      <w:pPr>
        <w:pStyle w:val="GenStyleDefPar"/>
        <w:overflowPunct w:val="0"/>
        <w:jc w:val="center"/>
        <w:rPr>
          <w:rFonts w:asciiTheme="majorHAnsi" w:hAnsiTheme="majorHAnsi"/>
          <w:b/>
          <w:bCs/>
          <w:color w:val="000000"/>
          <w:sz w:val="22"/>
        </w:rPr>
      </w:pPr>
      <w:r>
        <w:rPr>
          <w:rFonts w:asciiTheme="majorHAnsi" w:hAnsiTheme="majorHAnsi"/>
          <w:b/>
          <w:bCs/>
          <w:color w:val="000000"/>
          <w:sz w:val="22"/>
        </w:rPr>
        <w:t>DIOGO DEMARCHI SILVA</w:t>
      </w:r>
    </w:p>
    <w:p w14:paraId="29108386" w14:textId="285EA830" w:rsidR="00535035" w:rsidRDefault="002C3851" w:rsidP="007D6326">
      <w:pPr>
        <w:pStyle w:val="GenStyleDefPar"/>
        <w:overflowPunct w:val="0"/>
        <w:jc w:val="center"/>
        <w:rPr>
          <w:rFonts w:asciiTheme="majorHAnsi" w:hAnsiTheme="majorHAnsi"/>
          <w:color w:val="000000"/>
          <w:sz w:val="22"/>
        </w:rPr>
      </w:pPr>
      <w:r>
        <w:rPr>
          <w:rFonts w:asciiTheme="majorHAnsi" w:hAnsiTheme="majorHAnsi"/>
          <w:color w:val="000000"/>
          <w:sz w:val="22"/>
        </w:rPr>
        <w:t>Secretário de Estado da Saúde</w:t>
      </w:r>
    </w:p>
    <w:p w14:paraId="52670198" w14:textId="54B4FAFC" w:rsidR="009C4859" w:rsidRDefault="009C4859" w:rsidP="007D6326">
      <w:pPr>
        <w:pStyle w:val="GenStyleDefPar"/>
        <w:overflowPunct w:val="0"/>
        <w:jc w:val="center"/>
        <w:rPr>
          <w:rFonts w:asciiTheme="majorHAnsi" w:hAnsiTheme="majorHAnsi"/>
          <w:color w:val="000000"/>
          <w:sz w:val="22"/>
        </w:rPr>
      </w:pPr>
    </w:p>
    <w:p w14:paraId="3E0D7C6D" w14:textId="266B2423" w:rsidR="009C4859" w:rsidRDefault="009C4859" w:rsidP="007D6326">
      <w:pPr>
        <w:pStyle w:val="GenStyleDefPar"/>
        <w:overflowPunct w:val="0"/>
        <w:jc w:val="center"/>
        <w:rPr>
          <w:rFonts w:asciiTheme="majorHAnsi" w:hAnsiTheme="majorHAnsi"/>
          <w:color w:val="000000"/>
          <w:sz w:val="22"/>
        </w:rPr>
      </w:pPr>
    </w:p>
    <w:p w14:paraId="77561194" w14:textId="3BED43D1" w:rsidR="009C4859" w:rsidRDefault="009C4859" w:rsidP="007D6326">
      <w:pPr>
        <w:pStyle w:val="GenStyleDefPar"/>
        <w:overflowPunct w:val="0"/>
        <w:jc w:val="center"/>
        <w:rPr>
          <w:rFonts w:asciiTheme="majorHAnsi" w:hAnsiTheme="majorHAnsi"/>
          <w:color w:val="000000"/>
          <w:sz w:val="22"/>
        </w:rPr>
      </w:pPr>
    </w:p>
    <w:sectPr w:rsidR="009C4859" w:rsidSect="00096FA7">
      <w:headerReference w:type="default" r:id="rId7"/>
      <w:pgSz w:w="11906" w:h="16838"/>
      <w:pgMar w:top="1417" w:right="1701" w:bottom="1417" w:left="1701" w:header="28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2F17F" w14:textId="77777777" w:rsidR="00867360" w:rsidRDefault="002C3851">
      <w:r>
        <w:separator/>
      </w:r>
    </w:p>
  </w:endnote>
  <w:endnote w:type="continuationSeparator" w:id="0">
    <w:p w14:paraId="71B3E11F" w14:textId="77777777" w:rsidR="00867360" w:rsidRDefault="002C3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panose1 w:val="02020603050405020304"/>
    <w:charset w:val="00"/>
    <w:family w:val="roman"/>
    <w:pitch w:val="default"/>
    <w:sig w:usb0="E0000AFF" w:usb1="500078FF" w:usb2="00000021" w:usb3="00000000" w:csb0="600001BF" w:csb1="DFF70000"/>
  </w:font>
  <w:font w:name="DejaVu Sans">
    <w:altName w:val="Sylfaen"/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Liberation Sans">
    <w:altName w:val="Arial"/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266CC" w14:textId="77777777" w:rsidR="00867360" w:rsidRDefault="002C3851">
      <w:r>
        <w:separator/>
      </w:r>
    </w:p>
  </w:footnote>
  <w:footnote w:type="continuationSeparator" w:id="0">
    <w:p w14:paraId="10E7FC22" w14:textId="77777777" w:rsidR="00867360" w:rsidRDefault="002C38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F0F22" w14:textId="77777777" w:rsidR="00535035" w:rsidRDefault="002C3851">
    <w:pPr>
      <w:pStyle w:val="GenStyleDefPar"/>
      <w:spacing w:line="283" w:lineRule="atLeast"/>
      <w:jc w:val="center"/>
      <w:rPr>
        <w:rFonts w:ascii="Arial" w:hAnsi="Arial"/>
        <w:color w:val="00000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6A909FF" wp14:editId="0DF14944">
          <wp:simplePos x="0" y="0"/>
          <wp:positionH relativeFrom="column">
            <wp:posOffset>861060</wp:posOffset>
          </wp:positionH>
          <wp:positionV relativeFrom="paragraph">
            <wp:posOffset>38100</wp:posOffset>
          </wp:positionV>
          <wp:extent cx="597535" cy="658495"/>
          <wp:effectExtent l="0" t="0" r="0" b="8255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7535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2B491C7" w14:textId="77777777" w:rsidR="00535035" w:rsidRDefault="002C3851">
    <w:pPr>
      <w:pStyle w:val="GenStyleDefPar"/>
      <w:spacing w:line="283" w:lineRule="atLeast"/>
      <w:jc w:val="center"/>
      <w:rPr>
        <w:rFonts w:ascii="Arial" w:hAnsi="Arial"/>
        <w:szCs w:val="20"/>
      </w:rPr>
    </w:pPr>
    <w:r>
      <w:rPr>
        <w:rFonts w:ascii="Arial" w:hAnsi="Arial"/>
        <w:color w:val="000000"/>
        <w:szCs w:val="20"/>
      </w:rPr>
      <w:t>ESTADO DE SANTA CATARINA</w:t>
    </w:r>
  </w:p>
  <w:p w14:paraId="64492DAC" w14:textId="77777777" w:rsidR="00535035" w:rsidRDefault="002C3851">
    <w:pPr>
      <w:pStyle w:val="Cabealho"/>
      <w:spacing w:line="283" w:lineRule="atLeast"/>
      <w:jc w:val="center"/>
      <w:rPr>
        <w:rFonts w:ascii="Arial" w:eastAsia="Arial" w:hAnsi="Arial" w:cs="Arial"/>
        <w:sz w:val="20"/>
        <w:szCs w:val="20"/>
        <w:lang w:val="en-US"/>
      </w:rPr>
    </w:pPr>
    <w:r>
      <w:rPr>
        <w:rFonts w:ascii="Arial" w:eastAsia="Arial" w:hAnsi="Arial" w:cs="Arial"/>
        <w:sz w:val="20"/>
        <w:szCs w:val="20"/>
        <w:lang w:val="en-US"/>
      </w:rPr>
      <w:t>SECRETARIA DE ESTADO DA SAÚDE</w:t>
    </w:r>
  </w:p>
  <w:p w14:paraId="666A0A08" w14:textId="77777777" w:rsidR="00535035" w:rsidRDefault="00535035">
    <w:pPr>
      <w:pStyle w:val="Cabealho"/>
    </w:pPr>
  </w:p>
  <w:p w14:paraId="0D0FD0FE" w14:textId="77777777" w:rsidR="00535035" w:rsidRDefault="00535035">
    <w:pPr>
      <w:pStyle w:val="Cabealho"/>
      <w:tabs>
        <w:tab w:val="clear" w:pos="714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3D0B0E"/>
    <w:multiLevelType w:val="multilevel"/>
    <w:tmpl w:val="363D0B0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6E73"/>
    <w:rsid w:val="00090AFB"/>
    <w:rsid w:val="00096FA7"/>
    <w:rsid w:val="001323A7"/>
    <w:rsid w:val="00170D50"/>
    <w:rsid w:val="002C3851"/>
    <w:rsid w:val="002F6E73"/>
    <w:rsid w:val="00535035"/>
    <w:rsid w:val="005D1DBA"/>
    <w:rsid w:val="00640158"/>
    <w:rsid w:val="007D6326"/>
    <w:rsid w:val="00867360"/>
    <w:rsid w:val="0097030C"/>
    <w:rsid w:val="009C4859"/>
    <w:rsid w:val="00A35C6D"/>
    <w:rsid w:val="00AC052F"/>
    <w:rsid w:val="00B01F95"/>
    <w:rsid w:val="00B038C6"/>
    <w:rsid w:val="00C60470"/>
    <w:rsid w:val="00E82AF0"/>
    <w:rsid w:val="238369A9"/>
    <w:rsid w:val="27AD295A"/>
    <w:rsid w:val="5A9D69DE"/>
    <w:rsid w:val="696F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C4F7C"/>
  <w15:docId w15:val="{AD5F0C5C-3BB7-449C-B748-23B2BC7F7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uiPriority="39" w:unhideWhenUsed="1" w:qFormat="1"/>
    <w:lsdException w:name="toc 5" w:uiPriority="39" w:unhideWhenUsed="1" w:qFormat="1"/>
    <w:lsdException w:name="toc 6" w:uiPriority="39" w:unhideWhenUsed="1" w:qFormat="1"/>
    <w:lsdException w:name="toc 7" w:uiPriority="39" w:unhideWhenUsed="1" w:qFormat="1"/>
    <w:lsdException w:name="toc 8" w:uiPriority="39" w:unhideWhenUsed="1" w:qFormat="1"/>
    <w:lsdException w:name="toc 9" w:uiPriority="39" w:unhideWhenUsed="1" w:qFormat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uiPriority="0" w:qFormat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Liberation Serif" w:eastAsia="DejaVu Sans" w:hAnsi="Liberation Serif" w:cs="Liberation Sans"/>
      <w:sz w:val="24"/>
      <w:szCs w:val="24"/>
      <w:lang w:bidi="pt-BR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20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20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Ttulo4">
    <w:name w:val="heading 4"/>
    <w:basedOn w:val="Normal"/>
    <w:next w:val="Normal"/>
    <w:uiPriority w:val="9"/>
    <w:unhideWhenUsed/>
    <w:qFormat/>
    <w:pPr>
      <w:keepNext/>
      <w:keepLines/>
      <w:spacing w:before="20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Ttulo5">
    <w:name w:val="heading 5"/>
    <w:basedOn w:val="Normal"/>
    <w:next w:val="Normal"/>
    <w:uiPriority w:val="9"/>
    <w:unhideWhenUsed/>
    <w:qFormat/>
    <w:pPr>
      <w:keepNext/>
      <w:keepLines/>
      <w:spacing w:before="20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Ttulo6">
    <w:name w:val="heading 6"/>
    <w:basedOn w:val="Normal"/>
    <w:next w:val="Normal"/>
    <w:uiPriority w:val="9"/>
    <w:unhideWhenUsed/>
    <w:qFormat/>
    <w:pPr>
      <w:keepNext/>
      <w:keepLines/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Ttulo7">
    <w:name w:val="heading 7"/>
    <w:basedOn w:val="Normal"/>
    <w:next w:val="Normal"/>
    <w:uiPriority w:val="9"/>
    <w:unhideWhenUsed/>
    <w:qFormat/>
    <w:pPr>
      <w:keepNext/>
      <w:keepLines/>
      <w:spacing w:before="200"/>
      <w:outlineLvl w:val="6"/>
    </w:pPr>
    <w:rPr>
      <w:rFonts w:ascii="Arial" w:eastAsia="Arial" w:hAnsi="Arial" w:cs="Arial"/>
      <w:b/>
      <w:bCs/>
      <w:color w:val="606060"/>
    </w:rPr>
  </w:style>
  <w:style w:type="paragraph" w:styleId="Ttulo8">
    <w:name w:val="heading 8"/>
    <w:basedOn w:val="Normal"/>
    <w:next w:val="Normal"/>
    <w:uiPriority w:val="9"/>
    <w:unhideWhenUsed/>
    <w:qFormat/>
    <w:pPr>
      <w:keepNext/>
      <w:keepLines/>
      <w:spacing w:before="200"/>
      <w:outlineLvl w:val="7"/>
    </w:pPr>
    <w:rPr>
      <w:rFonts w:ascii="Arial" w:eastAsia="Arial" w:hAnsi="Arial" w:cs="Arial"/>
      <w:color w:val="444444"/>
    </w:rPr>
  </w:style>
  <w:style w:type="paragraph" w:styleId="Ttulo9">
    <w:name w:val="heading 9"/>
    <w:basedOn w:val="Normal"/>
    <w:next w:val="Normal"/>
    <w:uiPriority w:val="9"/>
    <w:unhideWhenUsed/>
    <w:qFormat/>
    <w:pPr>
      <w:keepNext/>
      <w:keepLines/>
      <w:spacing w:before="20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  <w:qFormat/>
  </w:style>
  <w:style w:type="paragraph" w:styleId="Sumrio2">
    <w:name w:val="toc 2"/>
    <w:basedOn w:val="Normal"/>
    <w:next w:val="Normal"/>
    <w:uiPriority w:val="39"/>
    <w:unhideWhenUsed/>
    <w:qFormat/>
    <w:pPr>
      <w:spacing w:after="57"/>
      <w:ind w:left="283"/>
    </w:pPr>
  </w:style>
  <w:style w:type="paragraph" w:styleId="Lista">
    <w:name w:val="List"/>
    <w:basedOn w:val="Text20body"/>
    <w:qFormat/>
  </w:style>
  <w:style w:type="paragraph" w:customStyle="1" w:styleId="Text20body">
    <w:name w:val="Text_20_body"/>
    <w:basedOn w:val="Standard"/>
    <w:qFormat/>
    <w:pPr>
      <w:spacing w:after="120"/>
    </w:pPr>
  </w:style>
  <w:style w:type="paragraph" w:customStyle="1" w:styleId="Standard">
    <w:name w:val="Standard"/>
    <w:basedOn w:val="Normal"/>
    <w:qFormat/>
  </w:style>
  <w:style w:type="paragraph" w:styleId="Sumrio9">
    <w:name w:val="toc 9"/>
    <w:basedOn w:val="Normal"/>
    <w:next w:val="Normal"/>
    <w:uiPriority w:val="39"/>
    <w:unhideWhenUsed/>
    <w:qFormat/>
    <w:pPr>
      <w:spacing w:after="57"/>
      <w:ind w:left="2268"/>
    </w:pPr>
  </w:style>
  <w:style w:type="paragraph" w:styleId="Corpodetexto">
    <w:name w:val="Body Text"/>
    <w:basedOn w:val="Normal"/>
    <w:qFormat/>
    <w:pPr>
      <w:spacing w:after="140" w:line="276" w:lineRule="auto"/>
    </w:pPr>
  </w:style>
  <w:style w:type="paragraph" w:styleId="Sumrio6">
    <w:name w:val="toc 6"/>
    <w:basedOn w:val="Normal"/>
    <w:next w:val="Normal"/>
    <w:uiPriority w:val="39"/>
    <w:unhideWhenUsed/>
    <w:qFormat/>
    <w:pPr>
      <w:spacing w:after="57"/>
      <w:ind w:left="1417"/>
    </w:pPr>
  </w:style>
  <w:style w:type="paragraph" w:styleId="Sumrio5">
    <w:name w:val="toc 5"/>
    <w:basedOn w:val="Normal"/>
    <w:next w:val="Normal"/>
    <w:uiPriority w:val="39"/>
    <w:unhideWhenUsed/>
    <w:qFormat/>
    <w:pPr>
      <w:spacing w:after="57"/>
      <w:ind w:left="1134"/>
    </w:pPr>
  </w:style>
  <w:style w:type="paragraph" w:styleId="Ttulo">
    <w:name w:val="Title"/>
    <w:basedOn w:val="Standard"/>
    <w:next w:val="Text20body"/>
    <w:qFormat/>
    <w:pPr>
      <w:keepNext/>
      <w:spacing w:before="240" w:after="120"/>
    </w:pPr>
    <w:rPr>
      <w:rFonts w:ascii="Liberation Sans" w:eastAsia="Liberation Sans" w:hAnsi="Liberation Sans"/>
      <w:sz w:val="28"/>
      <w:szCs w:val="28"/>
    </w:rPr>
  </w:style>
  <w:style w:type="paragraph" w:styleId="Sumrio4">
    <w:name w:val="toc 4"/>
    <w:basedOn w:val="Normal"/>
    <w:next w:val="Normal"/>
    <w:uiPriority w:val="39"/>
    <w:unhideWhenUsed/>
    <w:qFormat/>
    <w:pPr>
      <w:spacing w:after="57"/>
      <w:ind w:left="850"/>
    </w:pPr>
  </w:style>
  <w:style w:type="paragraph" w:styleId="Sumrio8">
    <w:name w:val="toc 8"/>
    <w:basedOn w:val="Normal"/>
    <w:next w:val="Normal"/>
    <w:uiPriority w:val="39"/>
    <w:unhideWhenUsed/>
    <w:qFormat/>
    <w:pPr>
      <w:spacing w:after="57"/>
      <w:ind w:left="1984"/>
    </w:pPr>
  </w:style>
  <w:style w:type="paragraph" w:styleId="Ttulodendiceremissivo">
    <w:name w:val="index heading"/>
    <w:basedOn w:val="Ttulo10"/>
    <w:next w:val="Remissivo1"/>
    <w:qFormat/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Remissivo1">
    <w:name w:val="index 1"/>
    <w:basedOn w:val="Normal"/>
    <w:next w:val="Normal"/>
    <w:uiPriority w:val="99"/>
    <w:semiHidden/>
    <w:unhideWhenUsed/>
    <w:qFormat/>
  </w:style>
  <w:style w:type="paragraph" w:styleId="Cabealho">
    <w:name w:val="header"/>
    <w:basedOn w:val="Normal"/>
    <w:link w:val="CabealhoChar"/>
    <w:unhideWhenUsed/>
    <w:qFormat/>
    <w:pPr>
      <w:tabs>
        <w:tab w:val="center" w:pos="7143"/>
        <w:tab w:val="right" w:pos="14287"/>
      </w:tabs>
    </w:pPr>
    <w:rPr>
      <w:color w:val="000000"/>
      <w:sz w:val="22"/>
    </w:rPr>
  </w:style>
  <w:style w:type="paragraph" w:styleId="Rodap">
    <w:name w:val="footer"/>
    <w:basedOn w:val="Normal"/>
    <w:uiPriority w:val="99"/>
    <w:unhideWhenUsed/>
    <w:qFormat/>
    <w:pPr>
      <w:tabs>
        <w:tab w:val="center" w:pos="7143"/>
        <w:tab w:val="right" w:pos="14287"/>
      </w:tabs>
    </w:pPr>
    <w:rPr>
      <w:color w:val="000000"/>
      <w:sz w:val="22"/>
    </w:rPr>
  </w:style>
  <w:style w:type="paragraph" w:styleId="Legenda">
    <w:name w:val="caption"/>
    <w:basedOn w:val="Normal"/>
    <w:qFormat/>
    <w:pPr>
      <w:spacing w:before="120" w:after="120"/>
    </w:pPr>
    <w:rPr>
      <w:i/>
      <w:iCs/>
    </w:rPr>
  </w:style>
  <w:style w:type="paragraph" w:styleId="Sumrio7">
    <w:name w:val="toc 7"/>
    <w:basedOn w:val="Normal"/>
    <w:next w:val="Normal"/>
    <w:uiPriority w:val="39"/>
    <w:unhideWhenUsed/>
    <w:qFormat/>
    <w:pPr>
      <w:spacing w:after="57"/>
      <w:ind w:left="1701"/>
    </w:pPr>
  </w:style>
  <w:style w:type="paragraph" w:styleId="Sumrio3">
    <w:name w:val="toc 3"/>
    <w:basedOn w:val="Normal"/>
    <w:next w:val="Normal"/>
    <w:uiPriority w:val="39"/>
    <w:unhideWhenUsed/>
    <w:qFormat/>
    <w:pPr>
      <w:spacing w:after="57"/>
      <w:ind w:left="567"/>
    </w:pPr>
  </w:style>
  <w:style w:type="paragraph" w:styleId="Subttulo">
    <w:name w:val="Subtitle"/>
    <w:basedOn w:val="Normal"/>
    <w:next w:val="Normal"/>
    <w:uiPriority w:val="11"/>
    <w:qFormat/>
    <w:rPr>
      <w:i/>
      <w:color w:val="444444"/>
      <w:sz w:val="52"/>
    </w:rPr>
  </w:style>
  <w:style w:type="paragraph" w:styleId="Textodenotaderodap">
    <w:name w:val="footnote text"/>
    <w:basedOn w:val="Normal"/>
    <w:uiPriority w:val="99"/>
    <w:semiHidden/>
    <w:unhideWhenUsed/>
    <w:qFormat/>
    <w:rPr>
      <w:sz w:val="20"/>
    </w:rPr>
  </w:style>
  <w:style w:type="paragraph" w:styleId="Sumrio1">
    <w:name w:val="toc 1"/>
    <w:basedOn w:val="Normal"/>
    <w:next w:val="Normal"/>
    <w:uiPriority w:val="39"/>
    <w:unhideWhenUsed/>
    <w:qFormat/>
    <w:pPr>
      <w:spacing w:after="57"/>
    </w:pPr>
  </w:style>
  <w:style w:type="paragraph" w:styleId="Recuodecorpodetexto">
    <w:name w:val="Body Text Indent"/>
    <w:basedOn w:val="Normal"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LinkdaInternet">
    <w:name w:val="Link da Internet"/>
    <w:uiPriority w:val="99"/>
    <w:unhideWhenUsed/>
    <w:qFormat/>
    <w:rPr>
      <w:color w:val="0000FF" w:themeColor="hyperlink"/>
      <w:u w:val="single"/>
    </w:rPr>
  </w:style>
  <w:style w:type="character" w:customStyle="1" w:styleId="Heading1Char">
    <w:name w:val="Heading 1 Char"/>
    <w:basedOn w:val="Fontepargpadro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Fontepargpadro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Fontepargpadro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Fontepargpadro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Fontepargpadro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Fontepargpadro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Fontepargpadro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Fontepargpadro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Fontepargpadro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Fontepargpadro"/>
    <w:uiPriority w:val="10"/>
    <w:qFormat/>
    <w:rPr>
      <w:sz w:val="48"/>
      <w:szCs w:val="48"/>
    </w:rPr>
  </w:style>
  <w:style w:type="character" w:customStyle="1" w:styleId="SubtitleChar">
    <w:name w:val="Subtitle Char"/>
    <w:basedOn w:val="Fontepargpadro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basedOn w:val="Fontepargpadro"/>
    <w:uiPriority w:val="99"/>
    <w:qFormat/>
  </w:style>
  <w:style w:type="character" w:customStyle="1" w:styleId="FooterChar">
    <w:name w:val="Footer Char"/>
    <w:basedOn w:val="Fontepargpadro"/>
    <w:uiPriority w:val="99"/>
    <w:qFormat/>
  </w:style>
  <w:style w:type="character" w:customStyle="1" w:styleId="FootnoteTextChar">
    <w:name w:val="Footnote Text Char"/>
    <w:basedOn w:val="Fontepargpadro"/>
    <w:uiPriority w:val="99"/>
    <w:semiHidden/>
    <w:qFormat/>
    <w:rPr>
      <w:sz w:val="20"/>
    </w:rPr>
  </w:style>
  <w:style w:type="character" w:customStyle="1" w:styleId="ncoradanotaderodap">
    <w:name w:val="Âncora da nota de rodapé"/>
    <w:qFormat/>
    <w:rPr>
      <w:vertAlign w:val="superscript"/>
    </w:rPr>
  </w:style>
  <w:style w:type="character" w:customStyle="1" w:styleId="FootnoteCharacters">
    <w:name w:val="Footnote Characters"/>
    <w:basedOn w:val="Fontepargpadro"/>
    <w:uiPriority w:val="99"/>
    <w:semiHidden/>
    <w:unhideWhenUsed/>
    <w:qFormat/>
    <w:rPr>
      <w:vertAlign w:val="superscript"/>
    </w:rPr>
  </w:style>
  <w:style w:type="paragraph" w:customStyle="1" w:styleId="Ttulo11">
    <w:name w:val="Título1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dice">
    <w:name w:val="Índice"/>
    <w:basedOn w:val="Standard"/>
    <w:qFormat/>
  </w:style>
  <w:style w:type="paragraph" w:customStyle="1" w:styleId="CabealhoeRodap">
    <w:name w:val="Cabeçalho e Rodapé"/>
    <w:basedOn w:val="Normal"/>
    <w:qFormat/>
  </w:style>
  <w:style w:type="paragraph" w:customStyle="1" w:styleId="CabealhodoSumrio1">
    <w:name w:val="Cabeçalho do Sumário1"/>
    <w:uiPriority w:val="39"/>
    <w:unhideWhenUsed/>
    <w:qFormat/>
    <w:pPr>
      <w:suppressAutoHyphens/>
    </w:pPr>
    <w:rPr>
      <w:rFonts w:eastAsia="Arial" w:cs="Arial"/>
      <w:szCs w:val="22"/>
      <w:lang w:bidi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SemEspaamento">
    <w:name w:val="No Spacing"/>
    <w:basedOn w:val="Normal"/>
    <w:uiPriority w:val="1"/>
    <w:qFormat/>
    <w:rPr>
      <w:color w:val="000000"/>
    </w:rPr>
  </w:style>
  <w:style w:type="paragraph" w:styleId="Citao">
    <w:name w:val="Quote"/>
    <w:basedOn w:val="Normal"/>
    <w:next w:val="Normal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CitaoIntensa">
    <w:name w:val="Intense Quote"/>
    <w:basedOn w:val="Normal"/>
    <w:next w:val="Normal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customStyle="1" w:styleId="GenStyleDefPar">
    <w:name w:val="GenStyleDefPar"/>
    <w:qFormat/>
    <w:pPr>
      <w:suppressAutoHyphens/>
    </w:pPr>
    <w:rPr>
      <w:rFonts w:eastAsia="Arial" w:cs="Arial"/>
      <w:szCs w:val="22"/>
      <w:lang w:bidi="pt-BR"/>
    </w:rPr>
  </w:style>
  <w:style w:type="table" w:customStyle="1" w:styleId="Lined">
    <w:name w:val="Lined"/>
    <w:basedOn w:val="Tabelanormal"/>
    <w:uiPriority w:val="99"/>
    <w:qFormat/>
    <w:rPr>
      <w:color w:val="404040"/>
    </w:rPr>
    <w:tblPr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color w:val="F2F2F2"/>
        <w:sz w:val="22"/>
      </w:rPr>
      <w:tblPr/>
      <w:tcPr>
        <w:shd w:val="clear" w:color="auto" w:fill="7F7F7F"/>
      </w:tcPr>
    </w:tblStylePr>
    <w:tblStylePr w:type="lastRow">
      <w:rPr>
        <w:color w:val="F2F2F2"/>
        <w:sz w:val="22"/>
      </w:rPr>
      <w:tblPr/>
      <w:tcPr>
        <w:shd w:val="clear" w:color="auto" w:fill="7F7F7F"/>
      </w:tcPr>
    </w:tblStylePr>
    <w:tblStylePr w:type="firstCol">
      <w:rPr>
        <w:color w:val="F2F2F2"/>
        <w:sz w:val="22"/>
      </w:rPr>
      <w:tblPr/>
      <w:tcPr>
        <w:shd w:val="clear" w:color="auto" w:fill="7F7F7F"/>
      </w:tcPr>
    </w:tblStylePr>
    <w:tblStylePr w:type="lastCol">
      <w:rPr>
        <w:color w:val="F2F2F2"/>
        <w:sz w:val="22"/>
      </w:rPr>
      <w:tblPr/>
      <w:tcPr>
        <w:shd w:val="clear" w:color="auto" w:fill="7F7F7F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elanormal"/>
    <w:uiPriority w:val="99"/>
    <w:qFormat/>
    <w:rPr>
      <w:color w:val="404040"/>
    </w:rPr>
    <w:tblPr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color w:val="F2F2F2"/>
        <w:sz w:val="22"/>
      </w:rPr>
      <w:tblPr/>
      <w:tcPr>
        <w:shd w:val="clear" w:color="auto" w:fill="548DD4"/>
      </w:tcPr>
    </w:tblStylePr>
    <w:tblStylePr w:type="lastRow">
      <w:rPr>
        <w:color w:val="F2F2F2"/>
        <w:sz w:val="22"/>
      </w:rPr>
      <w:tblPr/>
      <w:tcPr>
        <w:shd w:val="clear" w:color="auto" w:fill="548DD4"/>
      </w:tcPr>
    </w:tblStylePr>
    <w:tblStylePr w:type="firstCol">
      <w:rPr>
        <w:color w:val="F2F2F2"/>
        <w:sz w:val="22"/>
      </w:rPr>
      <w:tblPr/>
      <w:tcPr>
        <w:shd w:val="clear" w:color="auto" w:fill="548DD4"/>
      </w:tcPr>
    </w:tblStylePr>
    <w:tblStylePr w:type="lastCol">
      <w:rPr>
        <w:color w:val="F2F2F2"/>
        <w:sz w:val="22"/>
      </w:rPr>
      <w:tblPr/>
      <w:tcPr>
        <w:shd w:val="clear" w:color="auto" w:fill="548DD4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6D9F1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elanormal"/>
    <w:uiPriority w:val="99"/>
    <w:qFormat/>
    <w:rPr>
      <w:color w:val="404040"/>
    </w:rPr>
    <w:tblPr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color w:val="F2F2F2"/>
        <w:sz w:val="22"/>
      </w:rPr>
      <w:tblPr/>
      <w:tcPr>
        <w:shd w:val="clear" w:color="auto" w:fill="D99594"/>
      </w:tcPr>
    </w:tblStylePr>
    <w:tblStylePr w:type="lastRow">
      <w:rPr>
        <w:color w:val="F2F2F2"/>
        <w:sz w:val="22"/>
      </w:rPr>
      <w:tblPr/>
      <w:tcPr>
        <w:shd w:val="clear" w:color="auto" w:fill="D99594"/>
      </w:tcPr>
    </w:tblStylePr>
    <w:tblStylePr w:type="firstCol">
      <w:rPr>
        <w:color w:val="F2F2F2"/>
        <w:sz w:val="22"/>
      </w:rPr>
      <w:tblPr/>
      <w:tcPr>
        <w:shd w:val="clear" w:color="auto" w:fill="D99594"/>
      </w:tcPr>
    </w:tblStylePr>
    <w:tblStylePr w:type="lastCol">
      <w:rPr>
        <w:color w:val="F2F2F2"/>
        <w:sz w:val="22"/>
      </w:rPr>
      <w:tblPr/>
      <w:tcPr>
        <w:shd w:val="clear" w:color="auto" w:fill="D99594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BDB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elanormal"/>
    <w:uiPriority w:val="99"/>
    <w:qFormat/>
    <w:rPr>
      <w:color w:val="404040"/>
    </w:rPr>
    <w:tblPr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color w:val="F2F2F2"/>
        <w:sz w:val="22"/>
      </w:rPr>
      <w:tblPr/>
      <w:tcPr>
        <w:shd w:val="clear" w:color="auto" w:fill="9BB559"/>
      </w:tcPr>
    </w:tblStylePr>
    <w:tblStylePr w:type="lastRow">
      <w:rPr>
        <w:color w:val="F2F2F2"/>
        <w:sz w:val="22"/>
      </w:rPr>
      <w:tblPr/>
      <w:tcPr>
        <w:shd w:val="clear" w:color="auto" w:fill="9BB559"/>
      </w:tcPr>
    </w:tblStylePr>
    <w:tblStylePr w:type="firstCol">
      <w:rPr>
        <w:color w:val="F2F2F2"/>
        <w:sz w:val="22"/>
      </w:rPr>
      <w:tblPr/>
      <w:tcPr>
        <w:shd w:val="clear" w:color="auto" w:fill="9BB559"/>
      </w:tcPr>
    </w:tblStylePr>
    <w:tblStylePr w:type="lastCol">
      <w:rPr>
        <w:color w:val="F2F2F2"/>
        <w:sz w:val="22"/>
      </w:rPr>
      <w:tblPr/>
      <w:tcPr>
        <w:shd w:val="clear" w:color="auto" w:fill="9BB559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elanormal"/>
    <w:uiPriority w:val="99"/>
    <w:qFormat/>
    <w:rPr>
      <w:color w:val="404040"/>
    </w:rPr>
    <w:tblPr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color w:val="F2F2F2"/>
        <w:sz w:val="22"/>
      </w:rPr>
      <w:tblPr/>
      <w:tcPr>
        <w:shd w:val="clear" w:color="auto" w:fill="B2A1C7"/>
      </w:tcPr>
    </w:tblStylePr>
    <w:tblStylePr w:type="lastRow">
      <w:rPr>
        <w:color w:val="F2F2F2"/>
        <w:sz w:val="22"/>
      </w:rPr>
      <w:tblPr/>
      <w:tcPr>
        <w:shd w:val="clear" w:color="auto" w:fill="B2A1C7"/>
      </w:tcPr>
    </w:tblStylePr>
    <w:tblStylePr w:type="firstCol">
      <w:rPr>
        <w:color w:val="F2F2F2"/>
        <w:sz w:val="22"/>
      </w:rPr>
      <w:tblPr/>
      <w:tcPr>
        <w:shd w:val="clear" w:color="auto" w:fill="B2A1C7"/>
      </w:tcPr>
    </w:tblStylePr>
    <w:tblStylePr w:type="lastCol">
      <w:rPr>
        <w:color w:val="F2F2F2"/>
        <w:sz w:val="22"/>
      </w:rPr>
      <w:tblPr/>
      <w:tcPr>
        <w:shd w:val="clear" w:color="auto" w:fill="B2A1C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elanormal"/>
    <w:uiPriority w:val="99"/>
    <w:qFormat/>
    <w:rPr>
      <w:color w:val="404040"/>
    </w:rPr>
    <w:tblPr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color w:val="F2F2F2"/>
        <w:sz w:val="22"/>
      </w:rPr>
      <w:tblPr/>
      <w:tcPr>
        <w:shd w:val="clear" w:color="auto" w:fill="4BACC6"/>
      </w:tcPr>
    </w:tblStylePr>
    <w:tblStylePr w:type="lastRow">
      <w:rPr>
        <w:color w:val="F2F2F2"/>
        <w:sz w:val="22"/>
      </w:rPr>
      <w:tblPr/>
      <w:tcPr>
        <w:shd w:val="clear" w:color="auto" w:fill="4BACC6"/>
      </w:tcPr>
    </w:tblStylePr>
    <w:tblStylePr w:type="firstCol">
      <w:rPr>
        <w:color w:val="F2F2F2"/>
        <w:sz w:val="22"/>
      </w:rPr>
      <w:tblPr/>
      <w:tcPr>
        <w:shd w:val="clear" w:color="auto" w:fill="4BACC6"/>
      </w:tcPr>
    </w:tblStylePr>
    <w:tblStylePr w:type="lastCol">
      <w:rPr>
        <w:color w:val="F2F2F2"/>
        <w:sz w:val="22"/>
      </w:rPr>
      <w:tblPr/>
      <w:tcPr>
        <w:shd w:val="clear" w:color="auto" w:fill="4BACC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elanormal"/>
    <w:uiPriority w:val="99"/>
    <w:qFormat/>
    <w:rPr>
      <w:color w:val="404040"/>
    </w:rPr>
    <w:tblPr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color w:val="F2F2F2"/>
        <w:sz w:val="22"/>
      </w:rPr>
      <w:tblPr/>
      <w:tcPr>
        <w:shd w:val="clear" w:color="auto" w:fill="F79646"/>
      </w:tcPr>
    </w:tblStylePr>
    <w:tblStylePr w:type="lastRow">
      <w:rPr>
        <w:color w:val="F2F2F2"/>
        <w:sz w:val="22"/>
      </w:rPr>
      <w:tblPr/>
      <w:tcPr>
        <w:shd w:val="clear" w:color="auto" w:fill="F79646"/>
      </w:tcPr>
    </w:tblStylePr>
    <w:tblStylePr w:type="firstCol">
      <w:rPr>
        <w:color w:val="F2F2F2"/>
        <w:sz w:val="22"/>
      </w:rPr>
      <w:tblPr/>
      <w:tcPr>
        <w:shd w:val="clear" w:color="auto" w:fill="F79646"/>
      </w:tcPr>
    </w:tblStylePr>
    <w:tblStylePr w:type="lastCol">
      <w:rPr>
        <w:color w:val="F2F2F2"/>
        <w:sz w:val="22"/>
      </w:rPr>
      <w:tblPr/>
      <w:tcPr>
        <w:shd w:val="clear" w:color="auto" w:fill="F7964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9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Tabelanormal"/>
    <w:uiPriority w:val="99"/>
    <w:qFormat/>
    <w:tblPr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elanormal"/>
    <w:uiPriority w:val="99"/>
    <w:qFormat/>
    <w:tblPr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elanormal"/>
    <w:uiPriority w:val="99"/>
    <w:qFormat/>
    <w:tblPr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elanormal"/>
    <w:uiPriority w:val="99"/>
    <w:qFormat/>
    <w:tblPr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elanormal"/>
    <w:uiPriority w:val="99"/>
    <w:qFormat/>
    <w:tblPr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elanormal"/>
    <w:uiPriority w:val="99"/>
    <w:qFormat/>
    <w:tblPr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elanormal"/>
    <w:uiPriority w:val="99"/>
    <w:qFormat/>
    <w:tblPr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elanormal"/>
    <w:uiPriority w:val="99"/>
    <w:qFormat/>
    <w:rPr>
      <w:color w:val="404040"/>
    </w:rPr>
    <w:tblPr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color w:val="F2F2F2"/>
        <w:sz w:val="22"/>
      </w:rPr>
      <w:tblPr/>
      <w:tcPr>
        <w:shd w:val="clear" w:color="auto" w:fill="7F7F7F"/>
      </w:tcPr>
    </w:tblStylePr>
    <w:tblStylePr w:type="lastRow">
      <w:rPr>
        <w:color w:val="F2F2F2"/>
        <w:sz w:val="22"/>
      </w:rPr>
      <w:tblPr/>
      <w:tcPr>
        <w:shd w:val="clear" w:color="auto" w:fill="7F7F7F"/>
      </w:tcPr>
    </w:tblStylePr>
    <w:tblStylePr w:type="firstCol">
      <w:rPr>
        <w:color w:val="F2F2F2"/>
        <w:sz w:val="22"/>
      </w:rPr>
      <w:tblPr/>
      <w:tcPr>
        <w:shd w:val="clear" w:color="auto" w:fill="7F7F7F"/>
      </w:tcPr>
    </w:tblStylePr>
    <w:tblStylePr w:type="lastCol">
      <w:rPr>
        <w:color w:val="F2F2F2"/>
        <w:sz w:val="22"/>
      </w:rPr>
      <w:tblPr/>
      <w:tcPr>
        <w:shd w:val="clear" w:color="auto" w:fill="7F7F7F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9D9D9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elanormal"/>
    <w:uiPriority w:val="99"/>
    <w:qFormat/>
    <w:rPr>
      <w:color w:val="404040"/>
    </w:rPr>
    <w:tblPr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color w:val="F2F2F2"/>
        <w:sz w:val="22"/>
      </w:rPr>
      <w:tblPr/>
      <w:tcPr>
        <w:shd w:val="clear" w:color="auto" w:fill="548DD4"/>
      </w:tcPr>
    </w:tblStylePr>
    <w:tblStylePr w:type="lastRow">
      <w:rPr>
        <w:color w:val="F2F2F2"/>
        <w:sz w:val="22"/>
      </w:rPr>
      <w:tblPr/>
      <w:tcPr>
        <w:shd w:val="clear" w:color="auto" w:fill="548DD4"/>
      </w:tcPr>
    </w:tblStylePr>
    <w:tblStylePr w:type="firstCol">
      <w:rPr>
        <w:color w:val="F2F2F2"/>
        <w:sz w:val="22"/>
      </w:rPr>
      <w:tblPr/>
      <w:tcPr>
        <w:shd w:val="clear" w:color="auto" w:fill="548DD4"/>
      </w:tcPr>
    </w:tblStylePr>
    <w:tblStylePr w:type="lastCol">
      <w:rPr>
        <w:color w:val="F2F2F2"/>
        <w:sz w:val="22"/>
      </w:rPr>
      <w:tblPr/>
      <w:tcPr>
        <w:shd w:val="clear" w:color="auto" w:fill="548DD4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6D9F1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Tabelanormal"/>
    <w:uiPriority w:val="99"/>
    <w:qFormat/>
    <w:rPr>
      <w:color w:val="404040"/>
    </w:rPr>
    <w:tblPr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color w:val="F2F2F2"/>
        <w:sz w:val="22"/>
      </w:rPr>
      <w:tblPr/>
      <w:tcPr>
        <w:shd w:val="clear" w:color="auto" w:fill="D99594"/>
      </w:tcPr>
    </w:tblStylePr>
    <w:tblStylePr w:type="lastRow">
      <w:rPr>
        <w:color w:val="F2F2F2"/>
        <w:sz w:val="22"/>
      </w:rPr>
      <w:tblPr/>
      <w:tcPr>
        <w:shd w:val="clear" w:color="auto" w:fill="D99594"/>
      </w:tcPr>
    </w:tblStylePr>
    <w:tblStylePr w:type="firstCol">
      <w:rPr>
        <w:color w:val="F2F2F2"/>
        <w:sz w:val="22"/>
      </w:rPr>
      <w:tblPr/>
      <w:tcPr>
        <w:shd w:val="clear" w:color="auto" w:fill="D99594"/>
      </w:tcPr>
    </w:tblStylePr>
    <w:tblStylePr w:type="lastCol">
      <w:rPr>
        <w:color w:val="F2F2F2"/>
        <w:sz w:val="22"/>
      </w:rPr>
      <w:tblPr/>
      <w:tcPr>
        <w:shd w:val="clear" w:color="auto" w:fill="D99594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BDB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Tabelanormal"/>
    <w:uiPriority w:val="99"/>
    <w:qFormat/>
    <w:rPr>
      <w:color w:val="404040"/>
    </w:rPr>
    <w:tblPr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color w:val="F2F2F2"/>
        <w:sz w:val="22"/>
      </w:rPr>
      <w:tblPr/>
      <w:tcPr>
        <w:shd w:val="clear" w:color="auto" w:fill="9BBB59"/>
      </w:tcPr>
    </w:tblStylePr>
    <w:tblStylePr w:type="lastRow">
      <w:rPr>
        <w:color w:val="F2F2F2"/>
        <w:sz w:val="22"/>
      </w:rPr>
      <w:tblPr/>
      <w:tcPr>
        <w:shd w:val="clear" w:color="auto" w:fill="9BBB59"/>
      </w:tcPr>
    </w:tblStylePr>
    <w:tblStylePr w:type="firstCol">
      <w:rPr>
        <w:color w:val="F2F2F2"/>
        <w:sz w:val="22"/>
      </w:rPr>
      <w:tblPr/>
      <w:tcPr>
        <w:shd w:val="clear" w:color="auto" w:fill="9BBB59"/>
      </w:tcPr>
    </w:tblStylePr>
    <w:tblStylePr w:type="lastCol">
      <w:rPr>
        <w:color w:val="F2F2F2"/>
        <w:sz w:val="22"/>
      </w:rPr>
      <w:tblPr/>
      <w:tcPr>
        <w:shd w:val="clear" w:color="auto" w:fill="9BBB59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elanormal"/>
    <w:uiPriority w:val="99"/>
    <w:qFormat/>
    <w:rPr>
      <w:color w:val="404040"/>
    </w:rPr>
    <w:tblPr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color w:val="F2F2F2"/>
        <w:sz w:val="22"/>
      </w:rPr>
      <w:tblPr/>
      <w:tcPr>
        <w:shd w:val="clear" w:color="auto" w:fill="B2A1C7"/>
      </w:tcPr>
    </w:tblStylePr>
    <w:tblStylePr w:type="lastRow">
      <w:rPr>
        <w:color w:val="F2F2F2"/>
        <w:sz w:val="22"/>
      </w:rPr>
      <w:tblPr/>
      <w:tcPr>
        <w:shd w:val="clear" w:color="auto" w:fill="B2A1C7"/>
      </w:tcPr>
    </w:tblStylePr>
    <w:tblStylePr w:type="firstCol">
      <w:rPr>
        <w:color w:val="F2F2F2"/>
        <w:sz w:val="22"/>
      </w:rPr>
      <w:tblPr/>
      <w:tcPr>
        <w:shd w:val="clear" w:color="auto" w:fill="B2A1C7"/>
      </w:tcPr>
    </w:tblStylePr>
    <w:tblStylePr w:type="lastCol">
      <w:rPr>
        <w:color w:val="F2F2F2"/>
        <w:sz w:val="22"/>
      </w:rPr>
      <w:tblPr/>
      <w:tcPr>
        <w:shd w:val="clear" w:color="auto" w:fill="B2A1C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elanormal"/>
    <w:uiPriority w:val="99"/>
    <w:qFormat/>
    <w:rPr>
      <w:color w:val="404040"/>
    </w:rPr>
    <w:tblPr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color w:val="F2F2F2"/>
        <w:sz w:val="22"/>
      </w:rPr>
      <w:tblPr/>
      <w:tcPr>
        <w:shd w:val="clear" w:color="auto" w:fill="4BACC6"/>
      </w:tcPr>
    </w:tblStylePr>
    <w:tblStylePr w:type="lastRow">
      <w:rPr>
        <w:color w:val="F2F2F2"/>
        <w:sz w:val="22"/>
      </w:rPr>
      <w:tblPr/>
      <w:tcPr>
        <w:shd w:val="clear" w:color="auto" w:fill="4BACC6"/>
      </w:tcPr>
    </w:tblStylePr>
    <w:tblStylePr w:type="firstCol">
      <w:rPr>
        <w:color w:val="F2F2F2"/>
        <w:sz w:val="22"/>
      </w:rPr>
      <w:tblPr/>
      <w:tcPr>
        <w:shd w:val="clear" w:color="auto" w:fill="4BACC6"/>
      </w:tcPr>
    </w:tblStylePr>
    <w:tblStylePr w:type="lastCol">
      <w:rPr>
        <w:color w:val="F2F2F2"/>
        <w:sz w:val="22"/>
      </w:rPr>
      <w:tblPr/>
      <w:tcPr>
        <w:shd w:val="clear" w:color="auto" w:fill="4BACC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elanormal"/>
    <w:uiPriority w:val="99"/>
    <w:qFormat/>
    <w:rPr>
      <w:color w:val="404040"/>
    </w:rPr>
    <w:tblPr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color w:val="F2F2F2"/>
        <w:sz w:val="22"/>
      </w:rPr>
      <w:tblPr/>
      <w:tcPr>
        <w:shd w:val="clear" w:color="auto" w:fill="F79646"/>
      </w:tcPr>
    </w:tblStylePr>
    <w:tblStylePr w:type="lastRow">
      <w:rPr>
        <w:color w:val="F2F2F2"/>
        <w:sz w:val="22"/>
      </w:rPr>
      <w:tblPr/>
      <w:tcPr>
        <w:shd w:val="clear" w:color="auto" w:fill="F79646"/>
      </w:tcPr>
    </w:tblStylePr>
    <w:tblStylePr w:type="firstCol">
      <w:rPr>
        <w:color w:val="F2F2F2"/>
        <w:sz w:val="22"/>
      </w:rPr>
      <w:tblPr/>
      <w:tcPr>
        <w:shd w:val="clear" w:color="auto" w:fill="F79646"/>
      </w:tcPr>
    </w:tblStylePr>
    <w:tblStylePr w:type="lastCol">
      <w:rPr>
        <w:color w:val="F2F2F2"/>
        <w:sz w:val="22"/>
      </w:rPr>
      <w:tblPr/>
      <w:tcPr>
        <w:shd w:val="clear" w:color="auto" w:fill="F7964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9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9"/>
      </w:tcPr>
    </w:tblStylePr>
  </w:style>
  <w:style w:type="table" w:customStyle="1" w:styleId="GenStyleDefTable">
    <w:name w:val="GenStyleDefTable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rPr>
      <w:rFonts w:ascii="Liberation Serif" w:eastAsia="DejaVu Sans" w:hAnsi="Liberation Serif" w:cs="Liberation Sans"/>
      <w:color w:val="000000"/>
      <w:sz w:val="22"/>
      <w:szCs w:val="24"/>
      <w:lang w:bidi="pt-BR"/>
    </w:rPr>
  </w:style>
  <w:style w:type="paragraph" w:styleId="NormalWeb">
    <w:name w:val="Normal (Web)"/>
    <w:basedOn w:val="Normal"/>
    <w:uiPriority w:val="99"/>
    <w:semiHidden/>
    <w:unhideWhenUsed/>
    <w:rsid w:val="009C4859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421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>
          <a:srgbClr val="FFFFFF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324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SUH - GERENCIA DE ACOMPANHAMEN</dc:creator>
  <cp:lastModifiedBy>Karine Dias de Arruda</cp:lastModifiedBy>
  <cp:revision>4</cp:revision>
  <cp:lastPrinted>2025-02-25T20:07:00Z</cp:lastPrinted>
  <dcterms:created xsi:type="dcterms:W3CDTF">2026-07-08T18:41:00Z</dcterms:created>
  <dcterms:modified xsi:type="dcterms:W3CDTF">2026-07-08T19:14:00Z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ACDF873A264C440188189FA99A7F0392</vt:lpwstr>
  </property>
  <property fmtid="{D5CDD505-2E9C-101B-9397-08002B2CF9AE}" pid="3" name="KSOProductBuildVer">
    <vt:lpwstr>1046-12.2.0.23196</vt:lpwstr>
  </property>
</Properties>
</file>